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C4227" w14:textId="77777777" w:rsidR="00780BD9" w:rsidRPr="00780BD9" w:rsidRDefault="00780BD9" w:rsidP="00780BD9"/>
    <w:tbl>
      <w:tblPr>
        <w:tblW w:w="10260" w:type="dxa"/>
        <w:tblInd w:w="-510"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3480"/>
        <w:gridCol w:w="3138"/>
        <w:gridCol w:w="3642"/>
      </w:tblGrid>
      <w:tr w:rsidR="00780BD9" w:rsidRPr="00780BD9" w14:paraId="0552BCBB" w14:textId="77777777" w:rsidTr="00780BD9">
        <w:tblPrEx>
          <w:tblCellMar>
            <w:top w:w="0" w:type="dxa"/>
            <w:bottom w:w="0" w:type="dxa"/>
          </w:tblCellMar>
        </w:tblPrEx>
        <w:trPr>
          <w:trHeight w:val="244"/>
        </w:trPr>
        <w:tc>
          <w:tcPr>
            <w:tcW w:w="3480" w:type="dxa"/>
            <w:tcBorders>
              <w:top w:val="none" w:sz="6" w:space="0" w:color="auto"/>
              <w:bottom w:val="none" w:sz="6" w:space="0" w:color="auto"/>
              <w:right w:val="none" w:sz="6" w:space="0" w:color="auto"/>
            </w:tcBorders>
          </w:tcPr>
          <w:p w14:paraId="60D2B3CC"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 Acronym (if used) </w:t>
            </w:r>
          </w:p>
        </w:tc>
        <w:tc>
          <w:tcPr>
            <w:tcW w:w="3138" w:type="dxa"/>
            <w:tcBorders>
              <w:top w:val="none" w:sz="6" w:space="0" w:color="auto"/>
              <w:left w:val="none" w:sz="6" w:space="0" w:color="auto"/>
              <w:bottom w:val="none" w:sz="6" w:space="0" w:color="auto"/>
              <w:right w:val="none" w:sz="6" w:space="0" w:color="auto"/>
            </w:tcBorders>
          </w:tcPr>
          <w:p w14:paraId="0E488CF4"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Term </w:t>
            </w:r>
          </w:p>
        </w:tc>
        <w:tc>
          <w:tcPr>
            <w:tcW w:w="3642" w:type="dxa"/>
            <w:tcBorders>
              <w:top w:val="none" w:sz="6" w:space="0" w:color="auto"/>
              <w:left w:val="none" w:sz="6" w:space="0" w:color="auto"/>
              <w:bottom w:val="none" w:sz="6" w:space="0" w:color="auto"/>
            </w:tcBorders>
          </w:tcPr>
          <w:p w14:paraId="10541914"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Brief Definition </w:t>
            </w:r>
          </w:p>
        </w:tc>
      </w:tr>
      <w:tr w:rsidR="00780BD9" w:rsidRPr="00780BD9" w14:paraId="1FAB2793" w14:textId="77777777" w:rsidTr="00780BD9">
        <w:tblPrEx>
          <w:tblCellMar>
            <w:top w:w="0" w:type="dxa"/>
            <w:bottom w:w="0" w:type="dxa"/>
          </w:tblCellMar>
        </w:tblPrEx>
        <w:trPr>
          <w:trHeight w:val="648"/>
        </w:trPr>
        <w:tc>
          <w:tcPr>
            <w:tcW w:w="3480" w:type="dxa"/>
            <w:tcBorders>
              <w:top w:val="none" w:sz="6" w:space="0" w:color="auto"/>
              <w:bottom w:val="none" w:sz="6" w:space="0" w:color="auto"/>
              <w:right w:val="none" w:sz="6" w:space="0" w:color="auto"/>
            </w:tcBorders>
          </w:tcPr>
          <w:p w14:paraId="521F08B5"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AHAR </w:t>
            </w:r>
          </w:p>
        </w:tc>
        <w:tc>
          <w:tcPr>
            <w:tcW w:w="3138" w:type="dxa"/>
            <w:tcBorders>
              <w:top w:val="none" w:sz="6" w:space="0" w:color="auto"/>
              <w:left w:val="none" w:sz="6" w:space="0" w:color="auto"/>
              <w:bottom w:val="none" w:sz="6" w:space="0" w:color="auto"/>
              <w:right w:val="none" w:sz="6" w:space="0" w:color="auto"/>
            </w:tcBorders>
          </w:tcPr>
          <w:p w14:paraId="0B9DD921"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Annual Homeless Assessment Report </w:t>
            </w:r>
          </w:p>
        </w:tc>
        <w:tc>
          <w:tcPr>
            <w:tcW w:w="3642" w:type="dxa"/>
            <w:tcBorders>
              <w:top w:val="none" w:sz="6" w:space="0" w:color="auto"/>
              <w:left w:val="none" w:sz="6" w:space="0" w:color="auto"/>
              <w:bottom w:val="none" w:sz="6" w:space="0" w:color="auto"/>
            </w:tcBorders>
          </w:tcPr>
          <w:p w14:paraId="419F8481"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The Department of Housing and Urban Development (HUD) annual report to the U.S. Congress that provides nationwide estimates of homelessness, including information about the demographic characteristics of homeless persons, service use patterns, and the capacity to house homeless persons. </w:t>
            </w:r>
          </w:p>
        </w:tc>
      </w:tr>
      <w:tr w:rsidR="00780BD9" w:rsidRPr="00780BD9" w14:paraId="1558BEB7" w14:textId="77777777" w:rsidTr="00780BD9">
        <w:tblPrEx>
          <w:tblCellMar>
            <w:top w:w="0" w:type="dxa"/>
            <w:bottom w:w="0" w:type="dxa"/>
          </w:tblCellMar>
        </w:tblPrEx>
        <w:trPr>
          <w:trHeight w:val="1184"/>
        </w:trPr>
        <w:tc>
          <w:tcPr>
            <w:tcW w:w="3480" w:type="dxa"/>
            <w:tcBorders>
              <w:top w:val="none" w:sz="6" w:space="0" w:color="auto"/>
              <w:bottom w:val="none" w:sz="6" w:space="0" w:color="auto"/>
              <w:right w:val="none" w:sz="6" w:space="0" w:color="auto"/>
            </w:tcBorders>
          </w:tcPr>
          <w:p w14:paraId="0419FCA9"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AMI </w:t>
            </w:r>
          </w:p>
        </w:tc>
        <w:tc>
          <w:tcPr>
            <w:tcW w:w="3138" w:type="dxa"/>
            <w:tcBorders>
              <w:top w:val="none" w:sz="6" w:space="0" w:color="auto"/>
              <w:left w:val="none" w:sz="6" w:space="0" w:color="auto"/>
              <w:bottom w:val="none" w:sz="6" w:space="0" w:color="auto"/>
              <w:right w:val="none" w:sz="6" w:space="0" w:color="auto"/>
            </w:tcBorders>
          </w:tcPr>
          <w:p w14:paraId="73FE9318"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Area Median Income </w:t>
            </w:r>
          </w:p>
        </w:tc>
        <w:tc>
          <w:tcPr>
            <w:tcW w:w="3642" w:type="dxa"/>
            <w:tcBorders>
              <w:top w:val="none" w:sz="6" w:space="0" w:color="auto"/>
              <w:left w:val="none" w:sz="6" w:space="0" w:color="auto"/>
              <w:bottom w:val="none" w:sz="6" w:space="0" w:color="auto"/>
            </w:tcBorders>
          </w:tcPr>
          <w:p w14:paraId="085DE64D"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The </w:t>
            </w:r>
            <w:proofErr w:type="gramStart"/>
            <w:r w:rsidRPr="00780BD9">
              <w:rPr>
                <w:rFonts w:ascii="Calibri Light" w:hAnsi="Calibri Light" w:cs="Calibri Light"/>
                <w:b/>
                <w:bCs/>
                <w:sz w:val="22"/>
                <w:szCs w:val="22"/>
              </w:rPr>
              <w:t>median</w:t>
            </w:r>
            <w:proofErr w:type="gramEnd"/>
            <w:r w:rsidRPr="00780BD9">
              <w:rPr>
                <w:rFonts w:ascii="Calibri Light" w:hAnsi="Calibri Light" w:cs="Calibri Light"/>
                <w:b/>
                <w:bCs/>
                <w:sz w:val="22"/>
                <w:szCs w:val="22"/>
              </w:rPr>
              <w:t xml:space="preserve"> divides the income distribution into two equal parts: one-half falling below the median and one-half falling above the median for a designated area. HUD uses the median income for families in metropolitan and non-metropolitan areas to calculate income limits for eligibility in a variety of housing programs. HUD estimates the median family income for an area in the current year and adjusts that amount for different family sizes so that the family income may be expressed as a percentage of the area median income. </w:t>
            </w:r>
          </w:p>
        </w:tc>
      </w:tr>
      <w:tr w:rsidR="00780BD9" w:rsidRPr="00780BD9" w14:paraId="50BEA801" w14:textId="77777777" w:rsidTr="00780BD9">
        <w:tblPrEx>
          <w:tblCellMar>
            <w:top w:w="0" w:type="dxa"/>
            <w:bottom w:w="0" w:type="dxa"/>
          </w:tblCellMar>
        </w:tblPrEx>
        <w:trPr>
          <w:trHeight w:val="379"/>
        </w:trPr>
        <w:tc>
          <w:tcPr>
            <w:tcW w:w="3480" w:type="dxa"/>
            <w:tcBorders>
              <w:top w:val="none" w:sz="6" w:space="0" w:color="auto"/>
              <w:bottom w:val="none" w:sz="6" w:space="0" w:color="auto"/>
              <w:right w:val="none" w:sz="6" w:space="0" w:color="auto"/>
            </w:tcBorders>
          </w:tcPr>
          <w:p w14:paraId="08992270"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APR </w:t>
            </w:r>
          </w:p>
        </w:tc>
        <w:tc>
          <w:tcPr>
            <w:tcW w:w="3138" w:type="dxa"/>
            <w:tcBorders>
              <w:top w:val="none" w:sz="6" w:space="0" w:color="auto"/>
              <w:left w:val="none" w:sz="6" w:space="0" w:color="auto"/>
              <w:bottom w:val="none" w:sz="6" w:space="0" w:color="auto"/>
              <w:right w:val="none" w:sz="6" w:space="0" w:color="auto"/>
            </w:tcBorders>
          </w:tcPr>
          <w:p w14:paraId="75CADFC0"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Annual Performance Report </w:t>
            </w:r>
          </w:p>
        </w:tc>
        <w:tc>
          <w:tcPr>
            <w:tcW w:w="3642" w:type="dxa"/>
            <w:tcBorders>
              <w:top w:val="none" w:sz="6" w:space="0" w:color="auto"/>
              <w:left w:val="none" w:sz="6" w:space="0" w:color="auto"/>
              <w:bottom w:val="none" w:sz="6" w:space="0" w:color="auto"/>
            </w:tcBorders>
          </w:tcPr>
          <w:p w14:paraId="02F6CA61"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Homeless assistance grants are required to submit the APR to provide information on clients' outputs and outcomes that enables an assessment of a Grantee's performance. </w:t>
            </w:r>
          </w:p>
        </w:tc>
      </w:tr>
      <w:tr w:rsidR="00780BD9" w:rsidRPr="00780BD9" w14:paraId="0C88D14B" w14:textId="77777777" w:rsidTr="00780BD9">
        <w:tblPrEx>
          <w:tblCellMar>
            <w:top w:w="0" w:type="dxa"/>
            <w:bottom w:w="0" w:type="dxa"/>
          </w:tblCellMar>
        </w:tblPrEx>
        <w:trPr>
          <w:trHeight w:val="244"/>
        </w:trPr>
        <w:tc>
          <w:tcPr>
            <w:tcW w:w="3480" w:type="dxa"/>
            <w:tcBorders>
              <w:top w:val="none" w:sz="6" w:space="0" w:color="auto"/>
              <w:bottom w:val="none" w:sz="6" w:space="0" w:color="auto"/>
              <w:right w:val="none" w:sz="6" w:space="0" w:color="auto"/>
            </w:tcBorders>
          </w:tcPr>
          <w:p w14:paraId="3D40141E"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ARA </w:t>
            </w:r>
          </w:p>
        </w:tc>
        <w:tc>
          <w:tcPr>
            <w:tcW w:w="3138" w:type="dxa"/>
            <w:tcBorders>
              <w:top w:val="none" w:sz="6" w:space="0" w:color="auto"/>
              <w:left w:val="none" w:sz="6" w:space="0" w:color="auto"/>
              <w:bottom w:val="none" w:sz="6" w:space="0" w:color="auto"/>
              <w:right w:val="none" w:sz="6" w:space="0" w:color="auto"/>
            </w:tcBorders>
          </w:tcPr>
          <w:p w14:paraId="5E50A700"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Annual Renewal Amount </w:t>
            </w:r>
          </w:p>
        </w:tc>
        <w:tc>
          <w:tcPr>
            <w:tcW w:w="3642" w:type="dxa"/>
            <w:tcBorders>
              <w:top w:val="none" w:sz="6" w:space="0" w:color="auto"/>
              <w:left w:val="none" w:sz="6" w:space="0" w:color="auto"/>
              <w:bottom w:val="none" w:sz="6" w:space="0" w:color="auto"/>
            </w:tcBorders>
          </w:tcPr>
          <w:p w14:paraId="57239E9D"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The amount that a Continuum of Care (CoC) grant can be awarded on an annual basis when renewed. </w:t>
            </w:r>
          </w:p>
        </w:tc>
      </w:tr>
      <w:tr w:rsidR="00780BD9" w:rsidRPr="00780BD9" w14:paraId="4957BBDD" w14:textId="77777777" w:rsidTr="00780BD9">
        <w:tblPrEx>
          <w:tblCellMar>
            <w:top w:w="0" w:type="dxa"/>
            <w:bottom w:w="0" w:type="dxa"/>
          </w:tblCellMar>
        </w:tblPrEx>
        <w:trPr>
          <w:trHeight w:val="1050"/>
        </w:trPr>
        <w:tc>
          <w:tcPr>
            <w:tcW w:w="3480" w:type="dxa"/>
            <w:tcBorders>
              <w:top w:val="none" w:sz="6" w:space="0" w:color="auto"/>
              <w:bottom w:val="none" w:sz="6" w:space="0" w:color="auto"/>
              <w:right w:val="none" w:sz="6" w:space="0" w:color="auto"/>
            </w:tcBorders>
          </w:tcPr>
          <w:p w14:paraId="77D1DF11"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lastRenderedPageBreak/>
              <w:t xml:space="preserve">ARD </w:t>
            </w:r>
          </w:p>
        </w:tc>
        <w:tc>
          <w:tcPr>
            <w:tcW w:w="3138" w:type="dxa"/>
            <w:tcBorders>
              <w:top w:val="none" w:sz="6" w:space="0" w:color="auto"/>
              <w:left w:val="none" w:sz="6" w:space="0" w:color="auto"/>
              <w:bottom w:val="none" w:sz="6" w:space="0" w:color="auto"/>
              <w:right w:val="none" w:sz="6" w:space="0" w:color="auto"/>
            </w:tcBorders>
          </w:tcPr>
          <w:p w14:paraId="4967918D"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Annual Renewal Demand </w:t>
            </w:r>
          </w:p>
        </w:tc>
        <w:tc>
          <w:tcPr>
            <w:tcW w:w="3642" w:type="dxa"/>
            <w:tcBorders>
              <w:top w:val="none" w:sz="6" w:space="0" w:color="auto"/>
              <w:left w:val="none" w:sz="6" w:space="0" w:color="auto"/>
              <w:bottom w:val="none" w:sz="6" w:space="0" w:color="auto"/>
            </w:tcBorders>
          </w:tcPr>
          <w:p w14:paraId="2547AA29"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Annual Renewal Demand (ARD) (24 CFR 578.17(b)(2)). The total amount of all the CoC’s projects that will be eligible for renewal in the CoC Program Competition, before any required adjustments to funding for leasing, rental assistance, and operating Budget Line Items (BLIs) based on FMR changes. HUD will calculate the ARD by combining the total amount of funds requested by eligible renewal projects in each FY funding opportunity. </w:t>
            </w:r>
          </w:p>
        </w:tc>
      </w:tr>
      <w:tr w:rsidR="00780BD9" w:rsidRPr="00780BD9" w14:paraId="1A4B0523" w14:textId="77777777" w:rsidTr="00780BD9">
        <w:tblPrEx>
          <w:tblCellMar>
            <w:top w:w="0" w:type="dxa"/>
            <w:bottom w:w="0" w:type="dxa"/>
          </w:tblCellMar>
        </w:tblPrEx>
        <w:trPr>
          <w:trHeight w:val="1050"/>
        </w:trPr>
        <w:tc>
          <w:tcPr>
            <w:tcW w:w="3480" w:type="dxa"/>
            <w:tcBorders>
              <w:top w:val="none" w:sz="6" w:space="0" w:color="auto"/>
              <w:left w:val="none" w:sz="6" w:space="0" w:color="auto"/>
              <w:bottom w:val="none" w:sz="6" w:space="0" w:color="auto"/>
              <w:right w:val="none" w:sz="6" w:space="0" w:color="auto"/>
            </w:tcBorders>
          </w:tcPr>
          <w:p w14:paraId="2C27CBF1"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At-Risk </w:t>
            </w:r>
          </w:p>
        </w:tc>
        <w:tc>
          <w:tcPr>
            <w:tcW w:w="3138" w:type="dxa"/>
            <w:tcBorders>
              <w:top w:val="none" w:sz="6" w:space="0" w:color="auto"/>
              <w:left w:val="none" w:sz="6" w:space="0" w:color="auto"/>
              <w:bottom w:val="none" w:sz="6" w:space="0" w:color="auto"/>
              <w:right w:val="none" w:sz="6" w:space="0" w:color="auto"/>
            </w:tcBorders>
          </w:tcPr>
          <w:p w14:paraId="0DC7AB9B"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At Risk of Homelessness </w:t>
            </w:r>
          </w:p>
        </w:tc>
        <w:tc>
          <w:tcPr>
            <w:tcW w:w="3642" w:type="dxa"/>
            <w:tcBorders>
              <w:top w:val="none" w:sz="6" w:space="0" w:color="auto"/>
              <w:left w:val="none" w:sz="6" w:space="0" w:color="auto"/>
              <w:bottom w:val="none" w:sz="6" w:space="0" w:color="auto"/>
              <w:right w:val="none" w:sz="6" w:space="0" w:color="auto"/>
            </w:tcBorders>
          </w:tcPr>
          <w:p w14:paraId="400EFEA0"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At risk of homelessness means: (1) An individual or family who: (</w:t>
            </w:r>
            <w:proofErr w:type="spellStart"/>
            <w:r w:rsidRPr="00780BD9">
              <w:rPr>
                <w:rFonts w:ascii="Calibri Light" w:hAnsi="Calibri Light" w:cs="Calibri Light"/>
                <w:b/>
                <w:bCs/>
                <w:sz w:val="22"/>
                <w:szCs w:val="22"/>
              </w:rPr>
              <w:t>i</w:t>
            </w:r>
            <w:proofErr w:type="spellEnd"/>
            <w:r w:rsidRPr="00780BD9">
              <w:rPr>
                <w:rFonts w:ascii="Calibri Light" w:hAnsi="Calibri Light" w:cs="Calibri Light"/>
                <w:b/>
                <w:bCs/>
                <w:sz w:val="22"/>
                <w:szCs w:val="22"/>
              </w:rPr>
              <w:t xml:space="preserve">) Has an annual income below 30 percent of median family income for the area, as determined by HUD; (ii) Does not have sufficient resources or support networks, e.g., family, friends, faith-based or other social networks, immediately available to prevent them from moving to an emergency shelter or another place described in paragraph (1) of the “homeless” definition in this section; and (iii) Meets one of the following conditions: (A) Has moved because of economic reasons two or more times during the 60 days immediately preceding the application for homelessness prevention assistance; (B) Is living in the home of another because of economic hardship; (C) Has been notified in writing that their right to occupy their current housing or living situation will be terminated within 21 days after the date of application for assistance; (D) Lives in a hotel or </w:t>
            </w:r>
            <w:r w:rsidRPr="00780BD9">
              <w:rPr>
                <w:rFonts w:ascii="Calibri Light" w:hAnsi="Calibri Light" w:cs="Calibri Light"/>
                <w:b/>
                <w:bCs/>
                <w:sz w:val="22"/>
                <w:szCs w:val="22"/>
              </w:rPr>
              <w:lastRenderedPageBreak/>
              <w:t xml:space="preserve">motel and the cost of the hotel or motel stay is not paid by charitable organizations or by Federal, State, or local government programs for low-income individuals; (E) Lives in a single-room occupancy or efficiency apartment unit in which there reside more than two persons or lives in a larger housing unit in which there reside more than 1.5 persons reside per room, as defined by the U.S. Census Bureau; (F) Is exiting a publicly funded institution, or system of care (such as a health-care facility, a mental health facility, foster care or other youth facility, or correction program or institution); or (G) Otherwise lives in housing that has characteristics associated with instability and an increased risk of homelessness, as identified in the recipient's approved consolidated plan. </w:t>
            </w:r>
          </w:p>
        </w:tc>
      </w:tr>
      <w:tr w:rsidR="00780BD9" w:rsidRPr="00780BD9" w14:paraId="7ECD01C4" w14:textId="77777777" w:rsidTr="00780BD9">
        <w:tblPrEx>
          <w:tblCellMar>
            <w:top w:w="0" w:type="dxa"/>
            <w:bottom w:w="0" w:type="dxa"/>
          </w:tblCellMar>
        </w:tblPrEx>
        <w:trPr>
          <w:trHeight w:val="1050"/>
        </w:trPr>
        <w:tc>
          <w:tcPr>
            <w:tcW w:w="3480" w:type="dxa"/>
            <w:tcBorders>
              <w:top w:val="none" w:sz="6" w:space="0" w:color="auto"/>
              <w:left w:val="none" w:sz="6" w:space="0" w:color="auto"/>
              <w:bottom w:val="none" w:sz="6" w:space="0" w:color="auto"/>
              <w:right w:val="none" w:sz="6" w:space="0" w:color="auto"/>
            </w:tcBorders>
          </w:tcPr>
          <w:p w14:paraId="4B10CE5B"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lastRenderedPageBreak/>
              <w:t xml:space="preserve">BLI </w:t>
            </w:r>
          </w:p>
        </w:tc>
        <w:tc>
          <w:tcPr>
            <w:tcW w:w="3138" w:type="dxa"/>
            <w:tcBorders>
              <w:top w:val="none" w:sz="6" w:space="0" w:color="auto"/>
              <w:left w:val="none" w:sz="6" w:space="0" w:color="auto"/>
              <w:bottom w:val="none" w:sz="6" w:space="0" w:color="auto"/>
              <w:right w:val="none" w:sz="6" w:space="0" w:color="auto"/>
            </w:tcBorders>
          </w:tcPr>
          <w:p w14:paraId="5EC94D34"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Budget Line Item </w:t>
            </w:r>
          </w:p>
        </w:tc>
        <w:tc>
          <w:tcPr>
            <w:tcW w:w="3642" w:type="dxa"/>
            <w:tcBorders>
              <w:top w:val="none" w:sz="6" w:space="0" w:color="auto"/>
              <w:left w:val="none" w:sz="6" w:space="0" w:color="auto"/>
              <w:bottom w:val="none" w:sz="6" w:space="0" w:color="auto"/>
              <w:right w:val="none" w:sz="6" w:space="0" w:color="auto"/>
            </w:tcBorders>
          </w:tcPr>
          <w:p w14:paraId="6BA39D0E"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The individual categories of Budget in a housing or supportive services project. </w:t>
            </w:r>
          </w:p>
        </w:tc>
      </w:tr>
      <w:tr w:rsidR="00780BD9" w:rsidRPr="00780BD9" w14:paraId="41BEAF10" w14:textId="77777777" w:rsidTr="00780BD9">
        <w:tblPrEx>
          <w:tblCellMar>
            <w:top w:w="0" w:type="dxa"/>
            <w:bottom w:w="0" w:type="dxa"/>
          </w:tblCellMar>
        </w:tblPrEx>
        <w:trPr>
          <w:trHeight w:val="1050"/>
        </w:trPr>
        <w:tc>
          <w:tcPr>
            <w:tcW w:w="3480" w:type="dxa"/>
            <w:tcBorders>
              <w:top w:val="none" w:sz="6" w:space="0" w:color="auto"/>
              <w:left w:val="none" w:sz="6" w:space="0" w:color="auto"/>
              <w:bottom w:val="none" w:sz="6" w:space="0" w:color="auto"/>
              <w:right w:val="none" w:sz="6" w:space="0" w:color="auto"/>
            </w:tcBorders>
          </w:tcPr>
          <w:p w14:paraId="19C9BAC2"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BNL </w:t>
            </w:r>
          </w:p>
        </w:tc>
        <w:tc>
          <w:tcPr>
            <w:tcW w:w="3138" w:type="dxa"/>
            <w:tcBorders>
              <w:top w:val="none" w:sz="6" w:space="0" w:color="auto"/>
              <w:left w:val="none" w:sz="6" w:space="0" w:color="auto"/>
              <w:bottom w:val="none" w:sz="6" w:space="0" w:color="auto"/>
              <w:right w:val="none" w:sz="6" w:space="0" w:color="auto"/>
            </w:tcBorders>
          </w:tcPr>
          <w:p w14:paraId="6B0E765F"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By-Name List </w:t>
            </w:r>
          </w:p>
        </w:tc>
        <w:tc>
          <w:tcPr>
            <w:tcW w:w="3642" w:type="dxa"/>
            <w:tcBorders>
              <w:top w:val="none" w:sz="6" w:space="0" w:color="auto"/>
              <w:left w:val="none" w:sz="6" w:space="0" w:color="auto"/>
              <w:bottom w:val="none" w:sz="6" w:space="0" w:color="auto"/>
              <w:right w:val="none" w:sz="6" w:space="0" w:color="auto"/>
            </w:tcBorders>
          </w:tcPr>
          <w:p w14:paraId="24E008CF"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A By-Name List is a list of </w:t>
            </w:r>
            <w:proofErr w:type="gramStart"/>
            <w:r w:rsidRPr="00780BD9">
              <w:rPr>
                <w:rFonts w:ascii="Calibri Light" w:hAnsi="Calibri Light" w:cs="Calibri Light"/>
                <w:b/>
                <w:bCs/>
                <w:sz w:val="22"/>
                <w:szCs w:val="22"/>
              </w:rPr>
              <w:t>persons</w:t>
            </w:r>
            <w:proofErr w:type="gramEnd"/>
            <w:r w:rsidRPr="00780BD9">
              <w:rPr>
                <w:rFonts w:ascii="Calibri Light" w:hAnsi="Calibri Light" w:cs="Calibri Light"/>
                <w:b/>
                <w:bCs/>
                <w:sz w:val="22"/>
                <w:szCs w:val="22"/>
              </w:rPr>
              <w:t xml:space="preserve"> experiencing homelessness within a specific CoC. By-Name Lists can be comprehensive, meaning they include all homeless </w:t>
            </w:r>
            <w:proofErr w:type="gramStart"/>
            <w:r w:rsidRPr="00780BD9">
              <w:rPr>
                <w:rFonts w:ascii="Calibri Light" w:hAnsi="Calibri Light" w:cs="Calibri Light"/>
                <w:b/>
                <w:bCs/>
                <w:sz w:val="22"/>
                <w:szCs w:val="22"/>
              </w:rPr>
              <w:t>persons</w:t>
            </w:r>
            <w:proofErr w:type="gramEnd"/>
            <w:r w:rsidRPr="00780BD9">
              <w:rPr>
                <w:rFonts w:ascii="Calibri Light" w:hAnsi="Calibri Light" w:cs="Calibri Light"/>
                <w:b/>
                <w:bCs/>
                <w:sz w:val="22"/>
                <w:szCs w:val="22"/>
              </w:rPr>
              <w:t xml:space="preserve">, or focused, meaning they contain </w:t>
            </w:r>
            <w:proofErr w:type="gramStart"/>
            <w:r w:rsidRPr="00780BD9">
              <w:rPr>
                <w:rFonts w:ascii="Calibri Light" w:hAnsi="Calibri Light" w:cs="Calibri Light"/>
                <w:b/>
                <w:bCs/>
                <w:sz w:val="22"/>
                <w:szCs w:val="22"/>
              </w:rPr>
              <w:t>persons</w:t>
            </w:r>
            <w:proofErr w:type="gramEnd"/>
            <w:r w:rsidRPr="00780BD9">
              <w:rPr>
                <w:rFonts w:ascii="Calibri Light" w:hAnsi="Calibri Light" w:cs="Calibri Light"/>
                <w:b/>
                <w:bCs/>
                <w:sz w:val="22"/>
                <w:szCs w:val="22"/>
              </w:rPr>
              <w:t xml:space="preserve"> with certain subpopulation, (ex. chronic or veteran), or prioritization characteristics. By- Name Lists are frequently used within collaborative multi-partner meetings known as case conferencing sessions to link appropriate homeless </w:t>
            </w:r>
            <w:proofErr w:type="gramStart"/>
            <w:r w:rsidRPr="00780BD9">
              <w:rPr>
                <w:rFonts w:ascii="Calibri Light" w:hAnsi="Calibri Light" w:cs="Calibri Light"/>
                <w:b/>
                <w:bCs/>
                <w:sz w:val="22"/>
                <w:szCs w:val="22"/>
              </w:rPr>
              <w:t>persons</w:t>
            </w:r>
            <w:proofErr w:type="gramEnd"/>
            <w:r w:rsidRPr="00780BD9">
              <w:rPr>
                <w:rFonts w:ascii="Calibri Light" w:hAnsi="Calibri Light" w:cs="Calibri Light"/>
                <w:b/>
                <w:bCs/>
                <w:sz w:val="22"/>
                <w:szCs w:val="22"/>
              </w:rPr>
              <w:t xml:space="preserve"> with </w:t>
            </w:r>
            <w:r w:rsidRPr="00780BD9">
              <w:rPr>
                <w:rFonts w:ascii="Calibri Light" w:hAnsi="Calibri Light" w:cs="Calibri Light"/>
                <w:b/>
                <w:bCs/>
                <w:sz w:val="22"/>
                <w:szCs w:val="22"/>
              </w:rPr>
              <w:lastRenderedPageBreak/>
              <w:t xml:space="preserve">housing opportunities that best meet their needs. </w:t>
            </w:r>
          </w:p>
        </w:tc>
      </w:tr>
      <w:tr w:rsidR="00780BD9" w:rsidRPr="00780BD9" w14:paraId="635306D6" w14:textId="77777777" w:rsidTr="00780BD9">
        <w:tblPrEx>
          <w:tblCellMar>
            <w:top w:w="0" w:type="dxa"/>
            <w:bottom w:w="0" w:type="dxa"/>
          </w:tblCellMar>
        </w:tblPrEx>
        <w:trPr>
          <w:trHeight w:val="1050"/>
        </w:trPr>
        <w:tc>
          <w:tcPr>
            <w:tcW w:w="3480" w:type="dxa"/>
            <w:tcBorders>
              <w:top w:val="none" w:sz="6" w:space="0" w:color="auto"/>
              <w:left w:val="none" w:sz="6" w:space="0" w:color="auto"/>
              <w:bottom w:val="none" w:sz="6" w:space="0" w:color="auto"/>
              <w:right w:val="none" w:sz="6" w:space="0" w:color="auto"/>
            </w:tcBorders>
          </w:tcPr>
          <w:p w14:paraId="3E9B3C0B"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lastRenderedPageBreak/>
              <w:t xml:space="preserve">CA </w:t>
            </w:r>
          </w:p>
        </w:tc>
        <w:tc>
          <w:tcPr>
            <w:tcW w:w="3138" w:type="dxa"/>
            <w:tcBorders>
              <w:top w:val="none" w:sz="6" w:space="0" w:color="auto"/>
              <w:left w:val="none" w:sz="6" w:space="0" w:color="auto"/>
              <w:bottom w:val="none" w:sz="6" w:space="0" w:color="auto"/>
              <w:right w:val="none" w:sz="6" w:space="0" w:color="auto"/>
            </w:tcBorders>
          </w:tcPr>
          <w:p w14:paraId="645B36A1"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Collaborative Applicant </w:t>
            </w:r>
          </w:p>
        </w:tc>
        <w:tc>
          <w:tcPr>
            <w:tcW w:w="3642" w:type="dxa"/>
            <w:tcBorders>
              <w:top w:val="none" w:sz="6" w:space="0" w:color="auto"/>
              <w:left w:val="none" w:sz="6" w:space="0" w:color="auto"/>
              <w:bottom w:val="none" w:sz="6" w:space="0" w:color="auto"/>
              <w:right w:val="none" w:sz="6" w:space="0" w:color="auto"/>
            </w:tcBorders>
          </w:tcPr>
          <w:p w14:paraId="1A4BA704"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The eligible </w:t>
            </w:r>
            <w:proofErr w:type="gramStart"/>
            <w:r w:rsidRPr="00780BD9">
              <w:rPr>
                <w:rFonts w:ascii="Calibri Light" w:hAnsi="Calibri Light" w:cs="Calibri Light"/>
                <w:b/>
                <w:bCs/>
                <w:sz w:val="22"/>
                <w:szCs w:val="22"/>
              </w:rPr>
              <w:t>applicant</w:t>
            </w:r>
            <w:proofErr w:type="gramEnd"/>
            <w:r w:rsidRPr="00780BD9">
              <w:rPr>
                <w:rFonts w:ascii="Calibri Light" w:hAnsi="Calibri Light" w:cs="Calibri Light"/>
                <w:b/>
                <w:bCs/>
                <w:sz w:val="22"/>
                <w:szCs w:val="22"/>
              </w:rPr>
              <w:t xml:space="preserve"> designated by the Continuum of Care (CoC) to collect and submit the CoC Registration, CoC Consolidated Application (which includes the CoC Application and CoC Priority Listing), and apply for CoC planning funds on behalf of the CoC during the CoC Program Competition. </w:t>
            </w:r>
          </w:p>
        </w:tc>
      </w:tr>
      <w:tr w:rsidR="00780BD9" w:rsidRPr="00780BD9" w14:paraId="0498FB71" w14:textId="77777777" w:rsidTr="00780BD9">
        <w:tblPrEx>
          <w:tblCellMar>
            <w:top w:w="0" w:type="dxa"/>
            <w:bottom w:w="0" w:type="dxa"/>
          </w:tblCellMar>
        </w:tblPrEx>
        <w:trPr>
          <w:trHeight w:val="1050"/>
        </w:trPr>
        <w:tc>
          <w:tcPr>
            <w:tcW w:w="3480" w:type="dxa"/>
            <w:tcBorders>
              <w:top w:val="none" w:sz="6" w:space="0" w:color="auto"/>
              <w:left w:val="none" w:sz="6" w:space="0" w:color="auto"/>
              <w:bottom w:val="none" w:sz="6" w:space="0" w:color="auto"/>
              <w:right w:val="none" w:sz="6" w:space="0" w:color="auto"/>
            </w:tcBorders>
          </w:tcPr>
          <w:p w14:paraId="033A3D67"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CC </w:t>
            </w:r>
          </w:p>
        </w:tc>
        <w:tc>
          <w:tcPr>
            <w:tcW w:w="3138" w:type="dxa"/>
            <w:tcBorders>
              <w:top w:val="none" w:sz="6" w:space="0" w:color="auto"/>
              <w:left w:val="none" w:sz="6" w:space="0" w:color="auto"/>
              <w:bottom w:val="none" w:sz="6" w:space="0" w:color="auto"/>
              <w:right w:val="none" w:sz="6" w:space="0" w:color="auto"/>
            </w:tcBorders>
          </w:tcPr>
          <w:p w14:paraId="6C523CFB"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Case Conferencing </w:t>
            </w:r>
          </w:p>
        </w:tc>
        <w:tc>
          <w:tcPr>
            <w:tcW w:w="3642" w:type="dxa"/>
            <w:tcBorders>
              <w:top w:val="none" w:sz="6" w:space="0" w:color="auto"/>
              <w:left w:val="none" w:sz="6" w:space="0" w:color="auto"/>
              <w:bottom w:val="none" w:sz="6" w:space="0" w:color="auto"/>
              <w:right w:val="none" w:sz="6" w:space="0" w:color="auto"/>
            </w:tcBorders>
          </w:tcPr>
          <w:p w14:paraId="29FA5B9A"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Formal, planned, and structured </w:t>
            </w:r>
            <w:proofErr w:type="gramStart"/>
            <w:r w:rsidRPr="00780BD9">
              <w:rPr>
                <w:rFonts w:ascii="Calibri Light" w:hAnsi="Calibri Light" w:cs="Calibri Light"/>
                <w:b/>
                <w:bCs/>
                <w:sz w:val="22"/>
                <w:szCs w:val="22"/>
              </w:rPr>
              <w:t>event</w:t>
            </w:r>
            <w:proofErr w:type="gramEnd"/>
            <w:r w:rsidRPr="00780BD9">
              <w:rPr>
                <w:rFonts w:ascii="Calibri Light" w:hAnsi="Calibri Light" w:cs="Calibri Light"/>
                <w:b/>
                <w:bCs/>
                <w:sz w:val="22"/>
                <w:szCs w:val="22"/>
              </w:rPr>
              <w:t xml:space="preserve"> separate from regular contacts. The goal of case conferencing is to provide holistic, coordinated, and integrated services across providers, and to reduce duplication. </w:t>
            </w:r>
          </w:p>
        </w:tc>
      </w:tr>
      <w:tr w:rsidR="00780BD9" w:rsidRPr="00780BD9" w14:paraId="4D434906" w14:textId="77777777" w:rsidTr="00780BD9">
        <w:tblPrEx>
          <w:tblCellMar>
            <w:top w:w="0" w:type="dxa"/>
            <w:bottom w:w="0" w:type="dxa"/>
          </w:tblCellMar>
        </w:tblPrEx>
        <w:trPr>
          <w:trHeight w:val="1050"/>
        </w:trPr>
        <w:tc>
          <w:tcPr>
            <w:tcW w:w="3480" w:type="dxa"/>
            <w:tcBorders>
              <w:top w:val="none" w:sz="6" w:space="0" w:color="auto"/>
              <w:left w:val="none" w:sz="6" w:space="0" w:color="auto"/>
              <w:bottom w:val="none" w:sz="6" w:space="0" w:color="auto"/>
              <w:right w:val="none" w:sz="6" w:space="0" w:color="auto"/>
            </w:tcBorders>
          </w:tcPr>
          <w:p w14:paraId="7BF2BF04"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CE </w:t>
            </w:r>
          </w:p>
        </w:tc>
        <w:tc>
          <w:tcPr>
            <w:tcW w:w="3138" w:type="dxa"/>
            <w:tcBorders>
              <w:top w:val="none" w:sz="6" w:space="0" w:color="auto"/>
              <w:left w:val="none" w:sz="6" w:space="0" w:color="auto"/>
              <w:bottom w:val="none" w:sz="6" w:space="0" w:color="auto"/>
              <w:right w:val="none" w:sz="6" w:space="0" w:color="auto"/>
            </w:tcBorders>
          </w:tcPr>
          <w:p w14:paraId="2A96F9A9"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Coordinated Entry System </w:t>
            </w:r>
          </w:p>
        </w:tc>
        <w:tc>
          <w:tcPr>
            <w:tcW w:w="3642" w:type="dxa"/>
            <w:tcBorders>
              <w:top w:val="none" w:sz="6" w:space="0" w:color="auto"/>
              <w:left w:val="none" w:sz="6" w:space="0" w:color="auto"/>
              <w:bottom w:val="none" w:sz="6" w:space="0" w:color="auto"/>
              <w:right w:val="none" w:sz="6" w:space="0" w:color="auto"/>
            </w:tcBorders>
          </w:tcPr>
          <w:p w14:paraId="7CF48FF3"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A functioning coordinated entry system is now required for all CoCs receiving HUD funding, per the HUD CoC Program Interim Rule. Each CoC must develop a plan/system based on their local providers and available resources. The objective of Coordinated Entry is to ensure that access to homeless resources is optimized and based on a standardized assessment of need. </w:t>
            </w:r>
          </w:p>
        </w:tc>
      </w:tr>
      <w:tr w:rsidR="00780BD9" w:rsidRPr="00780BD9" w14:paraId="38E311C9" w14:textId="77777777" w:rsidTr="00780BD9">
        <w:tblPrEx>
          <w:tblCellMar>
            <w:top w:w="0" w:type="dxa"/>
            <w:bottom w:w="0" w:type="dxa"/>
          </w:tblCellMar>
        </w:tblPrEx>
        <w:trPr>
          <w:trHeight w:val="1050"/>
        </w:trPr>
        <w:tc>
          <w:tcPr>
            <w:tcW w:w="3480" w:type="dxa"/>
            <w:tcBorders>
              <w:top w:val="none" w:sz="6" w:space="0" w:color="auto"/>
              <w:left w:val="none" w:sz="6" w:space="0" w:color="auto"/>
              <w:bottom w:val="none" w:sz="6" w:space="0" w:color="auto"/>
              <w:right w:val="none" w:sz="6" w:space="0" w:color="auto"/>
            </w:tcBorders>
          </w:tcPr>
          <w:p w14:paraId="29554CD0"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CFR </w:t>
            </w:r>
          </w:p>
        </w:tc>
        <w:tc>
          <w:tcPr>
            <w:tcW w:w="3138" w:type="dxa"/>
            <w:tcBorders>
              <w:top w:val="none" w:sz="6" w:space="0" w:color="auto"/>
              <w:left w:val="none" w:sz="6" w:space="0" w:color="auto"/>
              <w:bottom w:val="none" w:sz="6" w:space="0" w:color="auto"/>
              <w:right w:val="none" w:sz="6" w:space="0" w:color="auto"/>
            </w:tcBorders>
          </w:tcPr>
          <w:p w14:paraId="4870950A"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Code of Federal Regulations </w:t>
            </w:r>
          </w:p>
        </w:tc>
        <w:tc>
          <w:tcPr>
            <w:tcW w:w="3642" w:type="dxa"/>
            <w:tcBorders>
              <w:top w:val="none" w:sz="6" w:space="0" w:color="auto"/>
              <w:left w:val="none" w:sz="6" w:space="0" w:color="auto"/>
              <w:bottom w:val="none" w:sz="6" w:space="0" w:color="auto"/>
              <w:right w:val="none" w:sz="6" w:space="0" w:color="auto"/>
            </w:tcBorders>
          </w:tcPr>
          <w:p w14:paraId="2212736E"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The codification of the general and permanent rules published in the Federal Register by the departments and agencies of the Federal Government. </w:t>
            </w:r>
          </w:p>
        </w:tc>
      </w:tr>
      <w:tr w:rsidR="00780BD9" w:rsidRPr="00780BD9" w14:paraId="5C1F618F" w14:textId="77777777" w:rsidTr="00780BD9">
        <w:tblPrEx>
          <w:tblCellMar>
            <w:top w:w="0" w:type="dxa"/>
            <w:bottom w:w="0" w:type="dxa"/>
          </w:tblCellMar>
        </w:tblPrEx>
        <w:trPr>
          <w:trHeight w:val="1050"/>
        </w:trPr>
        <w:tc>
          <w:tcPr>
            <w:tcW w:w="3480" w:type="dxa"/>
            <w:tcBorders>
              <w:top w:val="none" w:sz="6" w:space="0" w:color="auto"/>
              <w:left w:val="none" w:sz="6" w:space="0" w:color="auto"/>
              <w:bottom w:val="none" w:sz="6" w:space="0" w:color="auto"/>
              <w:right w:val="none" w:sz="6" w:space="0" w:color="auto"/>
            </w:tcBorders>
          </w:tcPr>
          <w:p w14:paraId="7A2E2927"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lastRenderedPageBreak/>
              <w:t xml:space="preserve">CH </w:t>
            </w:r>
          </w:p>
        </w:tc>
        <w:tc>
          <w:tcPr>
            <w:tcW w:w="3138" w:type="dxa"/>
            <w:tcBorders>
              <w:top w:val="none" w:sz="6" w:space="0" w:color="auto"/>
              <w:left w:val="none" w:sz="6" w:space="0" w:color="auto"/>
              <w:bottom w:val="none" w:sz="6" w:space="0" w:color="auto"/>
              <w:right w:val="none" w:sz="6" w:space="0" w:color="auto"/>
            </w:tcBorders>
          </w:tcPr>
          <w:p w14:paraId="57EDB4E7"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Chronic Homelessness </w:t>
            </w:r>
          </w:p>
        </w:tc>
        <w:tc>
          <w:tcPr>
            <w:tcW w:w="3642" w:type="dxa"/>
            <w:tcBorders>
              <w:top w:val="none" w:sz="6" w:space="0" w:color="auto"/>
              <w:left w:val="none" w:sz="6" w:space="0" w:color="auto"/>
              <w:bottom w:val="none" w:sz="6" w:space="0" w:color="auto"/>
              <w:right w:val="none" w:sz="6" w:space="0" w:color="auto"/>
            </w:tcBorders>
          </w:tcPr>
          <w:p w14:paraId="5541E5F2" w14:textId="77777777" w:rsidR="00780BD9" w:rsidRPr="00780BD9" w:rsidRDefault="00780BD9" w:rsidP="00780BD9">
            <w:pPr>
              <w:rPr>
                <w:rFonts w:ascii="Calibri Light" w:hAnsi="Calibri Light" w:cs="Calibri Light"/>
                <w:b/>
                <w:bCs/>
                <w:sz w:val="22"/>
                <w:szCs w:val="22"/>
              </w:rPr>
            </w:pPr>
            <w:proofErr w:type="gramStart"/>
            <w:r w:rsidRPr="00780BD9">
              <w:rPr>
                <w:rFonts w:ascii="Calibri Light" w:hAnsi="Calibri Light" w:cs="Calibri Light"/>
                <w:b/>
                <w:bCs/>
                <w:sz w:val="22"/>
                <w:szCs w:val="22"/>
              </w:rPr>
              <w:t>In order to</w:t>
            </w:r>
            <w:proofErr w:type="gramEnd"/>
            <w:r w:rsidRPr="00780BD9">
              <w:rPr>
                <w:rFonts w:ascii="Calibri Light" w:hAnsi="Calibri Light" w:cs="Calibri Light"/>
                <w:b/>
                <w:bCs/>
                <w:sz w:val="22"/>
                <w:szCs w:val="22"/>
              </w:rPr>
              <w:t xml:space="preserve"> be eligible for housing restricted to chronically homeless individuals or families under the CoC program, participants must meet the definition of chronically homeless. The definition of chronically homeless is: A homeless individual with a disability as defined in section 401(9) of the McKinney-Vento Assistance Act (42 U.S.C. 11360(9)), who: Lives in a place not meant for human habitation, a safe haven, or in an emergency shelter, and Has been homeless and living as described for at least 12 months or on at least 4 separate occasions in the last 3 years, as long as the combined occasions equal at least 12 months and each break in homelessness separating the occasions included at least 7 consecutive nights of not living as described. An individual who has been residing in an institutional care facility for less, including jail, substance abuse or mental health treatment facility, hospital, or other similar facility, for fewer than 90 days and met all of the criteria of this definition before entering that facility; or A family with an adult head of household (or, if there is no adult in the family, a minor head of household) who meets all of the criteria of this definition, including a family whose composition has fluctuated while the head of household has been homeless. </w:t>
            </w:r>
          </w:p>
        </w:tc>
      </w:tr>
      <w:tr w:rsidR="00780BD9" w:rsidRPr="00780BD9" w14:paraId="3EE66AF5" w14:textId="77777777" w:rsidTr="00780BD9">
        <w:tblPrEx>
          <w:tblCellMar>
            <w:top w:w="0" w:type="dxa"/>
            <w:bottom w:w="0" w:type="dxa"/>
          </w:tblCellMar>
        </w:tblPrEx>
        <w:trPr>
          <w:trHeight w:val="1050"/>
        </w:trPr>
        <w:tc>
          <w:tcPr>
            <w:tcW w:w="3480" w:type="dxa"/>
            <w:tcBorders>
              <w:top w:val="none" w:sz="6" w:space="0" w:color="auto"/>
              <w:left w:val="none" w:sz="6" w:space="0" w:color="auto"/>
              <w:bottom w:val="none" w:sz="6" w:space="0" w:color="auto"/>
              <w:right w:val="none" w:sz="6" w:space="0" w:color="auto"/>
            </w:tcBorders>
          </w:tcPr>
          <w:p w14:paraId="3AEE9353"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lastRenderedPageBreak/>
              <w:t xml:space="preserve">CoC </w:t>
            </w:r>
          </w:p>
        </w:tc>
        <w:tc>
          <w:tcPr>
            <w:tcW w:w="3138" w:type="dxa"/>
            <w:tcBorders>
              <w:top w:val="none" w:sz="6" w:space="0" w:color="auto"/>
              <w:left w:val="none" w:sz="6" w:space="0" w:color="auto"/>
              <w:bottom w:val="none" w:sz="6" w:space="0" w:color="auto"/>
              <w:right w:val="none" w:sz="6" w:space="0" w:color="auto"/>
            </w:tcBorders>
          </w:tcPr>
          <w:p w14:paraId="6D96B1F7"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Continuum of Care Program </w:t>
            </w:r>
          </w:p>
        </w:tc>
        <w:tc>
          <w:tcPr>
            <w:tcW w:w="3642" w:type="dxa"/>
            <w:tcBorders>
              <w:top w:val="none" w:sz="6" w:space="0" w:color="auto"/>
              <w:left w:val="none" w:sz="6" w:space="0" w:color="auto"/>
              <w:bottom w:val="none" w:sz="6" w:space="0" w:color="auto"/>
              <w:right w:val="none" w:sz="6" w:space="0" w:color="auto"/>
            </w:tcBorders>
          </w:tcPr>
          <w:p w14:paraId="49363044"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The Continuum of Care Program funds homeless services in five (5) program areas: Permanent Supportive Housing, Rapid Rehousing, Transitional/PH-Rapid </w:t>
            </w:r>
            <w:proofErr w:type="spellStart"/>
            <w:r w:rsidRPr="00780BD9">
              <w:rPr>
                <w:rFonts w:ascii="Calibri Light" w:hAnsi="Calibri Light" w:cs="Calibri Light"/>
                <w:b/>
                <w:bCs/>
                <w:sz w:val="22"/>
                <w:szCs w:val="22"/>
              </w:rPr>
              <w:t>ReHousing</w:t>
            </w:r>
            <w:proofErr w:type="spellEnd"/>
            <w:r w:rsidRPr="00780BD9">
              <w:rPr>
                <w:rFonts w:ascii="Calibri Light" w:hAnsi="Calibri Light" w:cs="Calibri Light"/>
                <w:b/>
                <w:bCs/>
                <w:sz w:val="22"/>
                <w:szCs w:val="22"/>
              </w:rPr>
              <w:t xml:space="preserve">, Supportive Services, and HMIS. </w:t>
            </w:r>
          </w:p>
        </w:tc>
      </w:tr>
      <w:tr w:rsidR="00780BD9" w:rsidRPr="00780BD9" w14:paraId="569B84F1" w14:textId="77777777" w:rsidTr="00780BD9">
        <w:tblPrEx>
          <w:tblCellMar>
            <w:top w:w="0" w:type="dxa"/>
            <w:bottom w:w="0" w:type="dxa"/>
          </w:tblCellMar>
        </w:tblPrEx>
        <w:trPr>
          <w:trHeight w:val="1050"/>
        </w:trPr>
        <w:tc>
          <w:tcPr>
            <w:tcW w:w="3480" w:type="dxa"/>
            <w:tcBorders>
              <w:top w:val="none" w:sz="6" w:space="0" w:color="auto"/>
              <w:left w:val="none" w:sz="6" w:space="0" w:color="auto"/>
              <w:bottom w:val="none" w:sz="6" w:space="0" w:color="auto"/>
              <w:right w:val="none" w:sz="6" w:space="0" w:color="auto"/>
            </w:tcBorders>
          </w:tcPr>
          <w:p w14:paraId="02B5E716"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Comparable Database </w:t>
            </w:r>
          </w:p>
        </w:tc>
        <w:tc>
          <w:tcPr>
            <w:tcW w:w="3138" w:type="dxa"/>
            <w:tcBorders>
              <w:top w:val="none" w:sz="6" w:space="0" w:color="auto"/>
              <w:left w:val="none" w:sz="6" w:space="0" w:color="auto"/>
              <w:bottom w:val="none" w:sz="6" w:space="0" w:color="auto"/>
              <w:right w:val="none" w:sz="6" w:space="0" w:color="auto"/>
            </w:tcBorders>
          </w:tcPr>
          <w:p w14:paraId="176EF21D"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HMIS Comparable Database </w:t>
            </w:r>
          </w:p>
        </w:tc>
        <w:tc>
          <w:tcPr>
            <w:tcW w:w="3642" w:type="dxa"/>
            <w:tcBorders>
              <w:top w:val="none" w:sz="6" w:space="0" w:color="auto"/>
              <w:left w:val="none" w:sz="6" w:space="0" w:color="auto"/>
              <w:bottom w:val="none" w:sz="6" w:space="0" w:color="auto"/>
              <w:right w:val="none" w:sz="6" w:space="0" w:color="auto"/>
            </w:tcBorders>
          </w:tcPr>
          <w:p w14:paraId="164B0214"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An information management system that contains the same client and program data elements that are contained in the Homeless Management Information System (HMIS). Federal law requires that Domestic Violence agencies use systems comparable to HMIS rather than the HMIS used by other homeless agencies. </w:t>
            </w:r>
          </w:p>
        </w:tc>
      </w:tr>
      <w:tr w:rsidR="00780BD9" w:rsidRPr="00780BD9" w14:paraId="01A84401" w14:textId="77777777" w:rsidTr="00780BD9">
        <w:tblPrEx>
          <w:tblCellMar>
            <w:top w:w="0" w:type="dxa"/>
            <w:bottom w:w="0" w:type="dxa"/>
          </w:tblCellMar>
        </w:tblPrEx>
        <w:trPr>
          <w:trHeight w:val="1050"/>
        </w:trPr>
        <w:tc>
          <w:tcPr>
            <w:tcW w:w="3480" w:type="dxa"/>
            <w:tcBorders>
              <w:top w:val="none" w:sz="6" w:space="0" w:color="auto"/>
              <w:left w:val="none" w:sz="6" w:space="0" w:color="auto"/>
              <w:bottom w:val="none" w:sz="6" w:space="0" w:color="auto"/>
              <w:right w:val="none" w:sz="6" w:space="0" w:color="auto"/>
            </w:tcBorders>
          </w:tcPr>
          <w:p w14:paraId="2747FCED"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DV </w:t>
            </w:r>
          </w:p>
        </w:tc>
        <w:tc>
          <w:tcPr>
            <w:tcW w:w="3138" w:type="dxa"/>
            <w:tcBorders>
              <w:top w:val="none" w:sz="6" w:space="0" w:color="auto"/>
              <w:left w:val="none" w:sz="6" w:space="0" w:color="auto"/>
              <w:bottom w:val="none" w:sz="6" w:space="0" w:color="auto"/>
              <w:right w:val="none" w:sz="6" w:space="0" w:color="auto"/>
            </w:tcBorders>
          </w:tcPr>
          <w:p w14:paraId="0FBECEBE"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Domestic Violence </w:t>
            </w:r>
          </w:p>
        </w:tc>
        <w:tc>
          <w:tcPr>
            <w:tcW w:w="3642" w:type="dxa"/>
            <w:tcBorders>
              <w:top w:val="none" w:sz="6" w:space="0" w:color="auto"/>
              <w:left w:val="none" w:sz="6" w:space="0" w:color="auto"/>
              <w:bottom w:val="none" w:sz="6" w:space="0" w:color="auto"/>
              <w:right w:val="none" w:sz="6" w:space="0" w:color="auto"/>
            </w:tcBorders>
          </w:tcPr>
          <w:p w14:paraId="260DFCCE"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Any individual or family who: Is fleeing, or is attempting to flee, domestic violence; Has no other residence; and </w:t>
            </w:r>
            <w:proofErr w:type="gramStart"/>
            <w:r w:rsidRPr="00780BD9">
              <w:rPr>
                <w:rFonts w:ascii="Calibri Light" w:hAnsi="Calibri Light" w:cs="Calibri Light"/>
                <w:b/>
                <w:bCs/>
                <w:sz w:val="22"/>
                <w:szCs w:val="22"/>
              </w:rPr>
              <w:t>Lacks</w:t>
            </w:r>
            <w:proofErr w:type="gramEnd"/>
            <w:r w:rsidRPr="00780BD9">
              <w:rPr>
                <w:rFonts w:ascii="Calibri Light" w:hAnsi="Calibri Light" w:cs="Calibri Light"/>
                <w:b/>
                <w:bCs/>
                <w:sz w:val="22"/>
                <w:szCs w:val="22"/>
              </w:rPr>
              <w:t xml:space="preserve"> the resources or support networks to obtain other permanent housing. “Domestic Violence” includes dating violence, sexual assault, stalking, and other dangerous or life-threatening conditions that relate to violence against the individual or family member that either takes place in, makes the household afraid to return to, their primary nighttime residence (including human trafficking, economic abuse and cyber abuse under VAWA 2022). </w:t>
            </w:r>
          </w:p>
        </w:tc>
      </w:tr>
      <w:tr w:rsidR="00780BD9" w:rsidRPr="00780BD9" w14:paraId="1887A4C4" w14:textId="77777777" w:rsidTr="00780BD9">
        <w:tblPrEx>
          <w:tblCellMar>
            <w:top w:w="0" w:type="dxa"/>
            <w:bottom w:w="0" w:type="dxa"/>
          </w:tblCellMar>
        </w:tblPrEx>
        <w:trPr>
          <w:trHeight w:val="1050"/>
        </w:trPr>
        <w:tc>
          <w:tcPr>
            <w:tcW w:w="3480" w:type="dxa"/>
            <w:tcBorders>
              <w:top w:val="none" w:sz="6" w:space="0" w:color="auto"/>
              <w:left w:val="none" w:sz="6" w:space="0" w:color="auto"/>
              <w:bottom w:val="none" w:sz="6" w:space="0" w:color="auto"/>
              <w:right w:val="none" w:sz="6" w:space="0" w:color="auto"/>
            </w:tcBorders>
          </w:tcPr>
          <w:p w14:paraId="2F4593AF"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ESG </w:t>
            </w:r>
          </w:p>
        </w:tc>
        <w:tc>
          <w:tcPr>
            <w:tcW w:w="3138" w:type="dxa"/>
            <w:tcBorders>
              <w:top w:val="none" w:sz="6" w:space="0" w:color="auto"/>
              <w:left w:val="none" w:sz="6" w:space="0" w:color="auto"/>
              <w:bottom w:val="none" w:sz="6" w:space="0" w:color="auto"/>
              <w:right w:val="none" w:sz="6" w:space="0" w:color="auto"/>
            </w:tcBorders>
          </w:tcPr>
          <w:p w14:paraId="1B3F78B2"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Emergency Solutions Grant Program </w:t>
            </w:r>
          </w:p>
        </w:tc>
        <w:tc>
          <w:tcPr>
            <w:tcW w:w="3642" w:type="dxa"/>
            <w:tcBorders>
              <w:top w:val="none" w:sz="6" w:space="0" w:color="auto"/>
              <w:left w:val="none" w:sz="6" w:space="0" w:color="auto"/>
              <w:bottom w:val="none" w:sz="6" w:space="0" w:color="auto"/>
              <w:right w:val="none" w:sz="6" w:space="0" w:color="auto"/>
            </w:tcBorders>
          </w:tcPr>
          <w:p w14:paraId="6D05F4A7"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The Emergency Solutions Grant Program funds homeless services in five program areas: street outreach, emergency shelter, homelessness </w:t>
            </w:r>
            <w:r w:rsidRPr="00780BD9">
              <w:rPr>
                <w:rFonts w:ascii="Calibri Light" w:hAnsi="Calibri Light" w:cs="Calibri Light"/>
                <w:b/>
                <w:bCs/>
                <w:sz w:val="22"/>
                <w:szCs w:val="22"/>
              </w:rPr>
              <w:lastRenderedPageBreak/>
              <w:t xml:space="preserve">prevention, rapid re-housing assistance and HMIS. ESG Funds are allocated to Missouri Housing Development Commission (MHDC) and other entitlement jurisdictions who award funding to non-profits and government agencies through local funding competitions. </w:t>
            </w:r>
          </w:p>
        </w:tc>
      </w:tr>
      <w:tr w:rsidR="00780BD9" w:rsidRPr="00780BD9" w14:paraId="15A81F5D" w14:textId="77777777" w:rsidTr="00780BD9">
        <w:tblPrEx>
          <w:tblCellMar>
            <w:top w:w="0" w:type="dxa"/>
            <w:bottom w:w="0" w:type="dxa"/>
          </w:tblCellMar>
        </w:tblPrEx>
        <w:trPr>
          <w:trHeight w:val="1050"/>
        </w:trPr>
        <w:tc>
          <w:tcPr>
            <w:tcW w:w="3480" w:type="dxa"/>
            <w:tcBorders>
              <w:top w:val="none" w:sz="6" w:space="0" w:color="auto"/>
              <w:left w:val="none" w:sz="6" w:space="0" w:color="auto"/>
              <w:bottom w:val="none" w:sz="6" w:space="0" w:color="auto"/>
              <w:right w:val="none" w:sz="6" w:space="0" w:color="auto"/>
            </w:tcBorders>
          </w:tcPr>
          <w:p w14:paraId="26C8B943"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lastRenderedPageBreak/>
              <w:t xml:space="preserve">e-snaps </w:t>
            </w:r>
          </w:p>
        </w:tc>
        <w:tc>
          <w:tcPr>
            <w:tcW w:w="3138" w:type="dxa"/>
            <w:tcBorders>
              <w:top w:val="none" w:sz="6" w:space="0" w:color="auto"/>
              <w:left w:val="none" w:sz="6" w:space="0" w:color="auto"/>
              <w:bottom w:val="none" w:sz="6" w:space="0" w:color="auto"/>
              <w:right w:val="none" w:sz="6" w:space="0" w:color="auto"/>
            </w:tcBorders>
          </w:tcPr>
          <w:p w14:paraId="7D7812CE"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Electronic Special Needs Assistance Programs </w:t>
            </w:r>
          </w:p>
        </w:tc>
        <w:tc>
          <w:tcPr>
            <w:tcW w:w="3642" w:type="dxa"/>
            <w:tcBorders>
              <w:top w:val="none" w:sz="6" w:space="0" w:color="auto"/>
              <w:left w:val="none" w:sz="6" w:space="0" w:color="auto"/>
              <w:bottom w:val="none" w:sz="6" w:space="0" w:color="auto"/>
              <w:right w:val="none" w:sz="6" w:space="0" w:color="auto"/>
            </w:tcBorders>
          </w:tcPr>
          <w:p w14:paraId="02767661"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e-snaps is the electronic Continuum of Care (CoC) Program Application and Grants Management System that HUD's Office of Special Needs Assistance Programs (SNAPS) uses to support the CoC Program funding application and grant awards process for the CoC Program. </w:t>
            </w:r>
          </w:p>
        </w:tc>
      </w:tr>
      <w:tr w:rsidR="00780BD9" w:rsidRPr="00780BD9" w14:paraId="251CA428" w14:textId="77777777" w:rsidTr="00780BD9">
        <w:tblPrEx>
          <w:tblCellMar>
            <w:top w:w="0" w:type="dxa"/>
            <w:bottom w:w="0" w:type="dxa"/>
          </w:tblCellMar>
        </w:tblPrEx>
        <w:trPr>
          <w:trHeight w:val="1050"/>
        </w:trPr>
        <w:tc>
          <w:tcPr>
            <w:tcW w:w="3480" w:type="dxa"/>
            <w:tcBorders>
              <w:top w:val="none" w:sz="6" w:space="0" w:color="auto"/>
              <w:left w:val="none" w:sz="6" w:space="0" w:color="auto"/>
              <w:bottom w:val="none" w:sz="6" w:space="0" w:color="auto"/>
              <w:right w:val="none" w:sz="6" w:space="0" w:color="auto"/>
            </w:tcBorders>
          </w:tcPr>
          <w:p w14:paraId="6DC7E822"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FMR </w:t>
            </w:r>
          </w:p>
        </w:tc>
        <w:tc>
          <w:tcPr>
            <w:tcW w:w="3138" w:type="dxa"/>
            <w:tcBorders>
              <w:top w:val="none" w:sz="6" w:space="0" w:color="auto"/>
              <w:left w:val="none" w:sz="6" w:space="0" w:color="auto"/>
              <w:bottom w:val="none" w:sz="6" w:space="0" w:color="auto"/>
              <w:right w:val="none" w:sz="6" w:space="0" w:color="auto"/>
            </w:tcBorders>
          </w:tcPr>
          <w:p w14:paraId="29215DC9"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Fair Market Rent </w:t>
            </w:r>
          </w:p>
        </w:tc>
        <w:tc>
          <w:tcPr>
            <w:tcW w:w="3642" w:type="dxa"/>
            <w:tcBorders>
              <w:top w:val="none" w:sz="6" w:space="0" w:color="auto"/>
              <w:left w:val="none" w:sz="6" w:space="0" w:color="auto"/>
              <w:bottom w:val="none" w:sz="6" w:space="0" w:color="auto"/>
              <w:right w:val="none" w:sz="6" w:space="0" w:color="auto"/>
            </w:tcBorders>
          </w:tcPr>
          <w:p w14:paraId="00179E32"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Fair Market Rents (FMRs) are used to determine payment amounts and rent ceilings under several programs administered by the US Department of Housing and Urban Development (HUD).1 HUD estimates FMRs each year for metropolitan areas and non-metropolitan counties across the country. Metropolitan areas often cover a large geographic region; for example, the Sacramento metropolitan area includes El Dorado, Placer, Sacramento, and Yolo Counties. The FMR includes the total cost of shelter plus utilities (all major utilities except telephone, cable or satellite television, and Internet services). FMRs go into effect at the beginning of each federal fiscal year (October 1). </w:t>
            </w:r>
          </w:p>
        </w:tc>
      </w:tr>
      <w:tr w:rsidR="00780BD9" w:rsidRPr="00780BD9" w14:paraId="4D2ADE50" w14:textId="77777777" w:rsidTr="00780BD9">
        <w:tblPrEx>
          <w:tblCellMar>
            <w:top w:w="0" w:type="dxa"/>
            <w:bottom w:w="0" w:type="dxa"/>
          </w:tblCellMar>
        </w:tblPrEx>
        <w:trPr>
          <w:trHeight w:val="1050"/>
        </w:trPr>
        <w:tc>
          <w:tcPr>
            <w:tcW w:w="3480" w:type="dxa"/>
            <w:tcBorders>
              <w:top w:val="none" w:sz="6" w:space="0" w:color="auto"/>
              <w:left w:val="none" w:sz="6" w:space="0" w:color="auto"/>
              <w:bottom w:val="none" w:sz="6" w:space="0" w:color="auto"/>
              <w:right w:val="none" w:sz="6" w:space="0" w:color="auto"/>
            </w:tcBorders>
          </w:tcPr>
          <w:p w14:paraId="56D24AA7"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lastRenderedPageBreak/>
              <w:t xml:space="preserve">FPRN </w:t>
            </w:r>
          </w:p>
        </w:tc>
        <w:tc>
          <w:tcPr>
            <w:tcW w:w="3138" w:type="dxa"/>
            <w:tcBorders>
              <w:top w:val="none" w:sz="6" w:space="0" w:color="auto"/>
              <w:left w:val="none" w:sz="6" w:space="0" w:color="auto"/>
              <w:bottom w:val="none" w:sz="6" w:space="0" w:color="auto"/>
              <w:right w:val="none" w:sz="6" w:space="0" w:color="auto"/>
            </w:tcBorders>
          </w:tcPr>
          <w:p w14:paraId="5C86D204"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Final Pro-Rata Need </w:t>
            </w:r>
          </w:p>
        </w:tc>
        <w:tc>
          <w:tcPr>
            <w:tcW w:w="3642" w:type="dxa"/>
            <w:tcBorders>
              <w:top w:val="none" w:sz="6" w:space="0" w:color="auto"/>
              <w:left w:val="none" w:sz="6" w:space="0" w:color="auto"/>
              <w:bottom w:val="none" w:sz="6" w:space="0" w:color="auto"/>
              <w:right w:val="none" w:sz="6" w:space="0" w:color="auto"/>
            </w:tcBorders>
          </w:tcPr>
          <w:p w14:paraId="3B33CC21"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The FPRN is the higher of Preliminary Pro Rata Need (PPRN) or Annual Renewal Demand (ARD) for the CoC. The FPRN establishes the base for the maximum award amount for projects within the CoC. </w:t>
            </w:r>
          </w:p>
        </w:tc>
      </w:tr>
      <w:tr w:rsidR="00780BD9" w:rsidRPr="00780BD9" w14:paraId="6FFDBCC4" w14:textId="77777777" w:rsidTr="00780BD9">
        <w:tblPrEx>
          <w:tblCellMar>
            <w:top w:w="0" w:type="dxa"/>
            <w:bottom w:w="0" w:type="dxa"/>
          </w:tblCellMar>
        </w:tblPrEx>
        <w:trPr>
          <w:trHeight w:val="1050"/>
        </w:trPr>
        <w:tc>
          <w:tcPr>
            <w:tcW w:w="3480" w:type="dxa"/>
            <w:tcBorders>
              <w:top w:val="none" w:sz="6" w:space="0" w:color="auto"/>
              <w:left w:val="none" w:sz="6" w:space="0" w:color="auto"/>
              <w:bottom w:val="none" w:sz="6" w:space="0" w:color="auto"/>
              <w:right w:val="none" w:sz="6" w:space="0" w:color="auto"/>
            </w:tcBorders>
          </w:tcPr>
          <w:p w14:paraId="3BFC7ECF"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GIW </w:t>
            </w:r>
          </w:p>
        </w:tc>
        <w:tc>
          <w:tcPr>
            <w:tcW w:w="3138" w:type="dxa"/>
            <w:tcBorders>
              <w:top w:val="none" w:sz="6" w:space="0" w:color="auto"/>
              <w:left w:val="none" w:sz="6" w:space="0" w:color="auto"/>
              <w:bottom w:val="none" w:sz="6" w:space="0" w:color="auto"/>
              <w:right w:val="none" w:sz="6" w:space="0" w:color="auto"/>
            </w:tcBorders>
          </w:tcPr>
          <w:p w14:paraId="60999D78"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Grant Inventory Worksheet </w:t>
            </w:r>
          </w:p>
        </w:tc>
        <w:tc>
          <w:tcPr>
            <w:tcW w:w="3642" w:type="dxa"/>
            <w:tcBorders>
              <w:top w:val="none" w:sz="6" w:space="0" w:color="auto"/>
              <w:left w:val="none" w:sz="6" w:space="0" w:color="auto"/>
              <w:bottom w:val="none" w:sz="6" w:space="0" w:color="auto"/>
              <w:right w:val="none" w:sz="6" w:space="0" w:color="auto"/>
            </w:tcBorders>
          </w:tcPr>
          <w:p w14:paraId="003AEF5F"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Report that records all grants within a CoC’s geographic area that are eligible for renewal funding for an upcoming CoC Program Competition </w:t>
            </w:r>
          </w:p>
        </w:tc>
      </w:tr>
      <w:tr w:rsidR="00780BD9" w:rsidRPr="00780BD9" w14:paraId="3B072B64" w14:textId="77777777" w:rsidTr="00780BD9">
        <w:tblPrEx>
          <w:tblCellMar>
            <w:top w:w="0" w:type="dxa"/>
            <w:bottom w:w="0" w:type="dxa"/>
          </w:tblCellMar>
        </w:tblPrEx>
        <w:trPr>
          <w:trHeight w:val="1050"/>
        </w:trPr>
        <w:tc>
          <w:tcPr>
            <w:tcW w:w="3480" w:type="dxa"/>
            <w:tcBorders>
              <w:top w:val="none" w:sz="6" w:space="0" w:color="auto"/>
              <w:left w:val="none" w:sz="6" w:space="0" w:color="auto"/>
              <w:bottom w:val="none" w:sz="6" w:space="0" w:color="auto"/>
              <w:right w:val="none" w:sz="6" w:space="0" w:color="auto"/>
            </w:tcBorders>
          </w:tcPr>
          <w:p w14:paraId="743FA051"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HUD </w:t>
            </w:r>
          </w:p>
        </w:tc>
        <w:tc>
          <w:tcPr>
            <w:tcW w:w="3138" w:type="dxa"/>
            <w:tcBorders>
              <w:top w:val="none" w:sz="6" w:space="0" w:color="auto"/>
              <w:left w:val="none" w:sz="6" w:space="0" w:color="auto"/>
              <w:bottom w:val="none" w:sz="6" w:space="0" w:color="auto"/>
              <w:right w:val="none" w:sz="6" w:space="0" w:color="auto"/>
            </w:tcBorders>
          </w:tcPr>
          <w:p w14:paraId="47F6280E"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Department of Housing and Urban Development </w:t>
            </w:r>
          </w:p>
        </w:tc>
        <w:tc>
          <w:tcPr>
            <w:tcW w:w="3642" w:type="dxa"/>
            <w:tcBorders>
              <w:top w:val="none" w:sz="6" w:space="0" w:color="auto"/>
              <w:left w:val="none" w:sz="6" w:space="0" w:color="auto"/>
              <w:bottom w:val="none" w:sz="6" w:space="0" w:color="auto"/>
              <w:right w:val="none" w:sz="6" w:space="0" w:color="auto"/>
            </w:tcBorders>
          </w:tcPr>
          <w:p w14:paraId="496B78D4"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Administers programs that provide housing and community development assistance and works to ensure fair and equal housing </w:t>
            </w:r>
            <w:proofErr w:type="gramStart"/>
            <w:r w:rsidRPr="00780BD9">
              <w:rPr>
                <w:rFonts w:ascii="Calibri Light" w:hAnsi="Calibri Light" w:cs="Calibri Light"/>
                <w:b/>
                <w:bCs/>
                <w:sz w:val="22"/>
                <w:szCs w:val="22"/>
              </w:rPr>
              <w:t>opportunity</w:t>
            </w:r>
            <w:proofErr w:type="gramEnd"/>
            <w:r w:rsidRPr="00780BD9">
              <w:rPr>
                <w:rFonts w:ascii="Calibri Light" w:hAnsi="Calibri Light" w:cs="Calibri Light"/>
                <w:b/>
                <w:bCs/>
                <w:sz w:val="22"/>
                <w:szCs w:val="22"/>
              </w:rPr>
              <w:t xml:space="preserve"> for all. </w:t>
            </w:r>
          </w:p>
        </w:tc>
      </w:tr>
      <w:tr w:rsidR="00780BD9" w:rsidRPr="00780BD9" w14:paraId="13097D0A" w14:textId="77777777" w:rsidTr="00780BD9">
        <w:tblPrEx>
          <w:tblCellMar>
            <w:top w:w="0" w:type="dxa"/>
            <w:bottom w:w="0" w:type="dxa"/>
          </w:tblCellMar>
        </w:tblPrEx>
        <w:trPr>
          <w:trHeight w:val="1050"/>
        </w:trPr>
        <w:tc>
          <w:tcPr>
            <w:tcW w:w="3480" w:type="dxa"/>
            <w:tcBorders>
              <w:top w:val="none" w:sz="6" w:space="0" w:color="auto"/>
              <w:left w:val="none" w:sz="6" w:space="0" w:color="auto"/>
              <w:bottom w:val="none" w:sz="6" w:space="0" w:color="auto"/>
              <w:right w:val="none" w:sz="6" w:space="0" w:color="auto"/>
            </w:tcBorders>
          </w:tcPr>
          <w:p w14:paraId="1D187505"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ICA </w:t>
            </w:r>
          </w:p>
        </w:tc>
        <w:tc>
          <w:tcPr>
            <w:tcW w:w="3138" w:type="dxa"/>
            <w:tcBorders>
              <w:top w:val="none" w:sz="6" w:space="0" w:color="auto"/>
              <w:left w:val="none" w:sz="6" w:space="0" w:color="auto"/>
              <w:bottom w:val="none" w:sz="6" w:space="0" w:color="auto"/>
              <w:right w:val="none" w:sz="6" w:space="0" w:color="auto"/>
            </w:tcBorders>
          </w:tcPr>
          <w:p w14:paraId="4E4E048D"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Institute for Community Alliances </w:t>
            </w:r>
          </w:p>
        </w:tc>
        <w:tc>
          <w:tcPr>
            <w:tcW w:w="3642" w:type="dxa"/>
            <w:tcBorders>
              <w:top w:val="none" w:sz="6" w:space="0" w:color="auto"/>
              <w:left w:val="none" w:sz="6" w:space="0" w:color="auto"/>
              <w:bottom w:val="none" w:sz="6" w:space="0" w:color="auto"/>
              <w:right w:val="none" w:sz="6" w:space="0" w:color="auto"/>
            </w:tcBorders>
          </w:tcPr>
          <w:p w14:paraId="221176DB"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HMIS System Administrator for the Missouri Balance of State Continuum of Care providing technical assistance and training support for HMIS database users. </w:t>
            </w:r>
          </w:p>
        </w:tc>
      </w:tr>
      <w:tr w:rsidR="00780BD9" w:rsidRPr="00780BD9" w14:paraId="2B7AB517" w14:textId="77777777" w:rsidTr="00780BD9">
        <w:tblPrEx>
          <w:tblCellMar>
            <w:top w:w="0" w:type="dxa"/>
            <w:bottom w:w="0" w:type="dxa"/>
          </w:tblCellMar>
        </w:tblPrEx>
        <w:trPr>
          <w:trHeight w:val="1050"/>
        </w:trPr>
        <w:tc>
          <w:tcPr>
            <w:tcW w:w="3480" w:type="dxa"/>
            <w:tcBorders>
              <w:top w:val="none" w:sz="6" w:space="0" w:color="auto"/>
              <w:left w:val="none" w:sz="6" w:space="0" w:color="auto"/>
              <w:bottom w:val="none" w:sz="6" w:space="0" w:color="auto"/>
              <w:right w:val="none" w:sz="6" w:space="0" w:color="auto"/>
            </w:tcBorders>
          </w:tcPr>
          <w:p w14:paraId="6E0E9510"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HIC </w:t>
            </w:r>
          </w:p>
        </w:tc>
        <w:tc>
          <w:tcPr>
            <w:tcW w:w="3138" w:type="dxa"/>
            <w:tcBorders>
              <w:top w:val="none" w:sz="6" w:space="0" w:color="auto"/>
              <w:left w:val="none" w:sz="6" w:space="0" w:color="auto"/>
              <w:bottom w:val="none" w:sz="6" w:space="0" w:color="auto"/>
              <w:right w:val="none" w:sz="6" w:space="0" w:color="auto"/>
            </w:tcBorders>
          </w:tcPr>
          <w:p w14:paraId="40797C00"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Housing Inventory Count </w:t>
            </w:r>
          </w:p>
        </w:tc>
        <w:tc>
          <w:tcPr>
            <w:tcW w:w="3642" w:type="dxa"/>
            <w:tcBorders>
              <w:top w:val="none" w:sz="6" w:space="0" w:color="auto"/>
              <w:left w:val="none" w:sz="6" w:space="0" w:color="auto"/>
              <w:bottom w:val="none" w:sz="6" w:space="0" w:color="auto"/>
              <w:right w:val="none" w:sz="6" w:space="0" w:color="auto"/>
            </w:tcBorders>
          </w:tcPr>
          <w:p w14:paraId="0F96E924"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The HIC is a complete listing of HUD and non-HUD funded beds (both HMIS participating and non- participating) available to homeless </w:t>
            </w:r>
            <w:proofErr w:type="gramStart"/>
            <w:r w:rsidRPr="00780BD9">
              <w:rPr>
                <w:rFonts w:ascii="Calibri Light" w:hAnsi="Calibri Light" w:cs="Calibri Light"/>
                <w:b/>
                <w:bCs/>
                <w:sz w:val="22"/>
                <w:szCs w:val="22"/>
              </w:rPr>
              <w:t>persons</w:t>
            </w:r>
            <w:proofErr w:type="gramEnd"/>
            <w:r w:rsidRPr="00780BD9">
              <w:rPr>
                <w:rFonts w:ascii="Calibri Light" w:hAnsi="Calibri Light" w:cs="Calibri Light"/>
                <w:b/>
                <w:bCs/>
                <w:sz w:val="22"/>
                <w:szCs w:val="22"/>
              </w:rPr>
              <w:t xml:space="preserve"> within a CoC. </w:t>
            </w:r>
          </w:p>
        </w:tc>
      </w:tr>
      <w:tr w:rsidR="00780BD9" w:rsidRPr="00780BD9" w14:paraId="5D8E20EE" w14:textId="77777777" w:rsidTr="00780BD9">
        <w:tblPrEx>
          <w:tblCellMar>
            <w:top w:w="0" w:type="dxa"/>
            <w:bottom w:w="0" w:type="dxa"/>
          </w:tblCellMar>
        </w:tblPrEx>
        <w:trPr>
          <w:trHeight w:val="1050"/>
        </w:trPr>
        <w:tc>
          <w:tcPr>
            <w:tcW w:w="3480" w:type="dxa"/>
            <w:tcBorders>
              <w:top w:val="none" w:sz="6" w:space="0" w:color="auto"/>
              <w:left w:val="none" w:sz="6" w:space="0" w:color="auto"/>
              <w:bottom w:val="none" w:sz="6" w:space="0" w:color="auto"/>
              <w:right w:val="none" w:sz="6" w:space="0" w:color="auto"/>
            </w:tcBorders>
          </w:tcPr>
          <w:p w14:paraId="1D81F0E0"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HIPAA </w:t>
            </w:r>
          </w:p>
        </w:tc>
        <w:tc>
          <w:tcPr>
            <w:tcW w:w="3138" w:type="dxa"/>
            <w:tcBorders>
              <w:top w:val="none" w:sz="6" w:space="0" w:color="auto"/>
              <w:left w:val="none" w:sz="6" w:space="0" w:color="auto"/>
              <w:bottom w:val="none" w:sz="6" w:space="0" w:color="auto"/>
              <w:right w:val="none" w:sz="6" w:space="0" w:color="auto"/>
            </w:tcBorders>
          </w:tcPr>
          <w:p w14:paraId="1D0279B9"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The Health Insurance Portability and Accountability Act of 1996 </w:t>
            </w:r>
          </w:p>
        </w:tc>
        <w:tc>
          <w:tcPr>
            <w:tcW w:w="3642" w:type="dxa"/>
            <w:tcBorders>
              <w:top w:val="none" w:sz="6" w:space="0" w:color="auto"/>
              <w:left w:val="none" w:sz="6" w:space="0" w:color="auto"/>
              <w:bottom w:val="none" w:sz="6" w:space="0" w:color="auto"/>
              <w:right w:val="none" w:sz="6" w:space="0" w:color="auto"/>
            </w:tcBorders>
          </w:tcPr>
          <w:p w14:paraId="03047877"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The Health Insurance Portability and Accountability Act of 1996, particularly the Privacy Rule under Title II, regulates the use and disclosure of Protected Health Information (PHI) held by covered entities and business associates. HIPAA was amended by the HITECH Act – or Health Information Technology for Economic and Clinical Health Act in 2008. </w:t>
            </w:r>
          </w:p>
        </w:tc>
      </w:tr>
      <w:tr w:rsidR="00780BD9" w:rsidRPr="00780BD9" w14:paraId="6BF95828" w14:textId="77777777" w:rsidTr="00780BD9">
        <w:tblPrEx>
          <w:tblCellMar>
            <w:top w:w="0" w:type="dxa"/>
            <w:bottom w:w="0" w:type="dxa"/>
          </w:tblCellMar>
        </w:tblPrEx>
        <w:trPr>
          <w:trHeight w:val="1050"/>
        </w:trPr>
        <w:tc>
          <w:tcPr>
            <w:tcW w:w="3480" w:type="dxa"/>
            <w:tcBorders>
              <w:top w:val="none" w:sz="6" w:space="0" w:color="auto"/>
              <w:left w:val="none" w:sz="6" w:space="0" w:color="auto"/>
              <w:bottom w:val="none" w:sz="6" w:space="0" w:color="auto"/>
              <w:right w:val="none" w:sz="6" w:space="0" w:color="auto"/>
            </w:tcBorders>
          </w:tcPr>
          <w:p w14:paraId="3092310B"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lastRenderedPageBreak/>
              <w:t xml:space="preserve">HMIS </w:t>
            </w:r>
          </w:p>
        </w:tc>
        <w:tc>
          <w:tcPr>
            <w:tcW w:w="3138" w:type="dxa"/>
            <w:tcBorders>
              <w:top w:val="none" w:sz="6" w:space="0" w:color="auto"/>
              <w:left w:val="none" w:sz="6" w:space="0" w:color="auto"/>
              <w:bottom w:val="none" w:sz="6" w:space="0" w:color="auto"/>
              <w:right w:val="none" w:sz="6" w:space="0" w:color="auto"/>
            </w:tcBorders>
          </w:tcPr>
          <w:p w14:paraId="737030A9"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Homeless Management Information System </w:t>
            </w:r>
          </w:p>
        </w:tc>
        <w:tc>
          <w:tcPr>
            <w:tcW w:w="3642" w:type="dxa"/>
            <w:tcBorders>
              <w:top w:val="none" w:sz="6" w:space="0" w:color="auto"/>
              <w:left w:val="none" w:sz="6" w:space="0" w:color="auto"/>
              <w:bottom w:val="none" w:sz="6" w:space="0" w:color="auto"/>
              <w:right w:val="none" w:sz="6" w:space="0" w:color="auto"/>
            </w:tcBorders>
          </w:tcPr>
          <w:p w14:paraId="3207B00B"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HMIS is a local information technology system used to collect client-level data and data on the provision of housing and services to individuals and families at risk of and experiencing homelessness. Each CoC is responsible for selecting an HMIS software solution that complies with HUD's data collection, management, and reporting standards. The HMIS is also the primary reporting tool for HUD homeless service grants as well as for other public streams of funding related to homelessness. </w:t>
            </w:r>
          </w:p>
        </w:tc>
      </w:tr>
      <w:tr w:rsidR="00780BD9" w:rsidRPr="00780BD9" w14:paraId="46BAB196" w14:textId="77777777" w:rsidTr="00780BD9">
        <w:tblPrEx>
          <w:tblCellMar>
            <w:top w:w="0" w:type="dxa"/>
            <w:bottom w:w="0" w:type="dxa"/>
          </w:tblCellMar>
        </w:tblPrEx>
        <w:trPr>
          <w:trHeight w:val="1050"/>
        </w:trPr>
        <w:tc>
          <w:tcPr>
            <w:tcW w:w="3480" w:type="dxa"/>
            <w:tcBorders>
              <w:top w:val="none" w:sz="6" w:space="0" w:color="auto"/>
              <w:left w:val="none" w:sz="6" w:space="0" w:color="auto"/>
              <w:bottom w:val="none" w:sz="6" w:space="0" w:color="auto"/>
              <w:right w:val="none" w:sz="6" w:space="0" w:color="auto"/>
            </w:tcBorders>
          </w:tcPr>
          <w:p w14:paraId="57B7DF48"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Homeless </w:t>
            </w:r>
          </w:p>
        </w:tc>
        <w:tc>
          <w:tcPr>
            <w:tcW w:w="3138" w:type="dxa"/>
            <w:tcBorders>
              <w:top w:val="none" w:sz="6" w:space="0" w:color="auto"/>
              <w:left w:val="none" w:sz="6" w:space="0" w:color="auto"/>
              <w:bottom w:val="none" w:sz="6" w:space="0" w:color="auto"/>
              <w:right w:val="none" w:sz="6" w:space="0" w:color="auto"/>
            </w:tcBorders>
          </w:tcPr>
          <w:p w14:paraId="43FDA499"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Homeless </w:t>
            </w:r>
          </w:p>
        </w:tc>
        <w:tc>
          <w:tcPr>
            <w:tcW w:w="3642" w:type="dxa"/>
            <w:tcBorders>
              <w:top w:val="none" w:sz="6" w:space="0" w:color="auto"/>
              <w:left w:val="none" w:sz="6" w:space="0" w:color="auto"/>
              <w:bottom w:val="none" w:sz="6" w:space="0" w:color="auto"/>
              <w:right w:val="none" w:sz="6" w:space="0" w:color="auto"/>
            </w:tcBorders>
          </w:tcPr>
          <w:p w14:paraId="74A05A72"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See Homeless Definition: 24 CFR 576.2; 578.3 and record keeping requirements at https://www.hudexchange.info/resource/1974/criteria-and-recordkeeping-requirements-for-definition-of-homeless/ The HEARTH Act defines 4 categories of homelessness. Not all projects can serve all categories, and some may utilize a different definition when delivering services. Category 1: Literally Homeless Category 2: Imminent Risk of Homelessness Category 3: Homeless under other Federal Statutes Category 4: Fleeing/Attempting to Flee DV or other life-threatening conditions </w:t>
            </w:r>
          </w:p>
        </w:tc>
      </w:tr>
      <w:tr w:rsidR="00780BD9" w:rsidRPr="00780BD9" w14:paraId="7E76E968" w14:textId="77777777" w:rsidTr="00780BD9">
        <w:tblPrEx>
          <w:tblCellMar>
            <w:top w:w="0" w:type="dxa"/>
            <w:bottom w:w="0" w:type="dxa"/>
          </w:tblCellMar>
        </w:tblPrEx>
        <w:trPr>
          <w:trHeight w:val="1050"/>
        </w:trPr>
        <w:tc>
          <w:tcPr>
            <w:tcW w:w="3480" w:type="dxa"/>
            <w:tcBorders>
              <w:top w:val="none" w:sz="6" w:space="0" w:color="auto"/>
              <w:left w:val="none" w:sz="6" w:space="0" w:color="auto"/>
              <w:bottom w:val="none" w:sz="6" w:space="0" w:color="auto"/>
              <w:right w:val="none" w:sz="6" w:space="0" w:color="auto"/>
            </w:tcBorders>
          </w:tcPr>
          <w:p w14:paraId="033BB02C"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HOPWA </w:t>
            </w:r>
          </w:p>
        </w:tc>
        <w:tc>
          <w:tcPr>
            <w:tcW w:w="3138" w:type="dxa"/>
            <w:tcBorders>
              <w:top w:val="none" w:sz="6" w:space="0" w:color="auto"/>
              <w:left w:val="none" w:sz="6" w:space="0" w:color="auto"/>
              <w:bottom w:val="none" w:sz="6" w:space="0" w:color="auto"/>
              <w:right w:val="none" w:sz="6" w:space="0" w:color="auto"/>
            </w:tcBorders>
          </w:tcPr>
          <w:p w14:paraId="23E231F2"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Housing Opportunities for Persons with AIDS </w:t>
            </w:r>
          </w:p>
        </w:tc>
        <w:tc>
          <w:tcPr>
            <w:tcW w:w="3642" w:type="dxa"/>
            <w:tcBorders>
              <w:top w:val="none" w:sz="6" w:space="0" w:color="auto"/>
              <w:left w:val="none" w:sz="6" w:space="0" w:color="auto"/>
              <w:bottom w:val="none" w:sz="6" w:space="0" w:color="auto"/>
              <w:right w:val="none" w:sz="6" w:space="0" w:color="auto"/>
            </w:tcBorders>
          </w:tcPr>
          <w:p w14:paraId="37A2DFF7"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HOPWA provides housing assistance and related supportive services for </w:t>
            </w:r>
            <w:proofErr w:type="gramStart"/>
            <w:r w:rsidRPr="00780BD9">
              <w:rPr>
                <w:rFonts w:ascii="Calibri Light" w:hAnsi="Calibri Light" w:cs="Calibri Light"/>
                <w:b/>
                <w:bCs/>
                <w:sz w:val="22"/>
                <w:szCs w:val="22"/>
              </w:rPr>
              <w:t>persons</w:t>
            </w:r>
            <w:proofErr w:type="gramEnd"/>
            <w:r w:rsidRPr="00780BD9">
              <w:rPr>
                <w:rFonts w:ascii="Calibri Light" w:hAnsi="Calibri Light" w:cs="Calibri Light"/>
                <w:b/>
                <w:bCs/>
                <w:sz w:val="22"/>
                <w:szCs w:val="22"/>
              </w:rPr>
              <w:t xml:space="preserve"> with HIV/AIDS, and family members who are homeless or at risk of homelessness. </w:t>
            </w:r>
          </w:p>
        </w:tc>
      </w:tr>
      <w:tr w:rsidR="00780BD9" w:rsidRPr="00780BD9" w14:paraId="4D1FA96F" w14:textId="77777777" w:rsidTr="00780BD9">
        <w:tblPrEx>
          <w:tblCellMar>
            <w:top w:w="0" w:type="dxa"/>
            <w:bottom w:w="0" w:type="dxa"/>
          </w:tblCellMar>
        </w:tblPrEx>
        <w:trPr>
          <w:trHeight w:val="1050"/>
        </w:trPr>
        <w:tc>
          <w:tcPr>
            <w:tcW w:w="3480" w:type="dxa"/>
            <w:tcBorders>
              <w:top w:val="none" w:sz="6" w:space="0" w:color="auto"/>
              <w:left w:val="none" w:sz="6" w:space="0" w:color="auto"/>
              <w:bottom w:val="none" w:sz="6" w:space="0" w:color="auto"/>
              <w:right w:val="none" w:sz="6" w:space="0" w:color="auto"/>
            </w:tcBorders>
          </w:tcPr>
          <w:p w14:paraId="32E54374"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lastRenderedPageBreak/>
              <w:t xml:space="preserve">HP </w:t>
            </w:r>
          </w:p>
        </w:tc>
        <w:tc>
          <w:tcPr>
            <w:tcW w:w="3138" w:type="dxa"/>
            <w:tcBorders>
              <w:top w:val="none" w:sz="6" w:space="0" w:color="auto"/>
              <w:left w:val="none" w:sz="6" w:space="0" w:color="auto"/>
              <w:bottom w:val="none" w:sz="6" w:space="0" w:color="auto"/>
              <w:right w:val="none" w:sz="6" w:space="0" w:color="auto"/>
            </w:tcBorders>
          </w:tcPr>
          <w:p w14:paraId="2059789B"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Homelessness Prevention </w:t>
            </w:r>
          </w:p>
        </w:tc>
        <w:tc>
          <w:tcPr>
            <w:tcW w:w="3642" w:type="dxa"/>
            <w:tcBorders>
              <w:top w:val="none" w:sz="6" w:space="0" w:color="auto"/>
              <w:left w:val="none" w:sz="6" w:space="0" w:color="auto"/>
              <w:bottom w:val="none" w:sz="6" w:space="0" w:color="auto"/>
              <w:right w:val="none" w:sz="6" w:space="0" w:color="auto"/>
            </w:tcBorders>
          </w:tcPr>
          <w:p w14:paraId="2374A661"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HP provides short-term or medium-term rental assistance and housing relocation and stabilization services to households at or below 30% of the Area Median Income and are At-Risk of Homelessness or at Imminent Risk of Homelessness. </w:t>
            </w:r>
          </w:p>
        </w:tc>
      </w:tr>
      <w:tr w:rsidR="00780BD9" w:rsidRPr="00780BD9" w14:paraId="29967AC4" w14:textId="77777777" w:rsidTr="00780BD9">
        <w:tblPrEx>
          <w:tblCellMar>
            <w:top w:w="0" w:type="dxa"/>
            <w:bottom w:w="0" w:type="dxa"/>
          </w:tblCellMar>
        </w:tblPrEx>
        <w:trPr>
          <w:trHeight w:val="1050"/>
        </w:trPr>
        <w:tc>
          <w:tcPr>
            <w:tcW w:w="3480" w:type="dxa"/>
            <w:tcBorders>
              <w:top w:val="none" w:sz="6" w:space="0" w:color="auto"/>
              <w:left w:val="none" w:sz="6" w:space="0" w:color="auto"/>
              <w:bottom w:val="none" w:sz="6" w:space="0" w:color="auto"/>
              <w:right w:val="none" w:sz="6" w:space="0" w:color="auto"/>
            </w:tcBorders>
          </w:tcPr>
          <w:p w14:paraId="393044C1"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LOI </w:t>
            </w:r>
          </w:p>
        </w:tc>
        <w:tc>
          <w:tcPr>
            <w:tcW w:w="3138" w:type="dxa"/>
            <w:tcBorders>
              <w:top w:val="none" w:sz="6" w:space="0" w:color="auto"/>
              <w:left w:val="none" w:sz="6" w:space="0" w:color="auto"/>
              <w:bottom w:val="none" w:sz="6" w:space="0" w:color="auto"/>
              <w:right w:val="none" w:sz="6" w:space="0" w:color="auto"/>
            </w:tcBorders>
          </w:tcPr>
          <w:p w14:paraId="0BCA790F"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Letter of Intent </w:t>
            </w:r>
          </w:p>
        </w:tc>
        <w:tc>
          <w:tcPr>
            <w:tcW w:w="3642" w:type="dxa"/>
            <w:tcBorders>
              <w:top w:val="none" w:sz="6" w:space="0" w:color="auto"/>
              <w:left w:val="none" w:sz="6" w:space="0" w:color="auto"/>
              <w:bottom w:val="none" w:sz="6" w:space="0" w:color="auto"/>
              <w:right w:val="none" w:sz="6" w:space="0" w:color="auto"/>
            </w:tcBorders>
          </w:tcPr>
          <w:p w14:paraId="7192D8DD"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A written statement of the intention to enter into a formal agreement. A LOI is typically submitted in conjunction with local funding competitions to indicate an agency's interest in applying for the available funding. </w:t>
            </w:r>
          </w:p>
        </w:tc>
      </w:tr>
      <w:tr w:rsidR="00780BD9" w:rsidRPr="00780BD9" w14:paraId="5FC67F6C" w14:textId="77777777" w:rsidTr="00780BD9">
        <w:tblPrEx>
          <w:tblCellMar>
            <w:top w:w="0" w:type="dxa"/>
            <w:bottom w:w="0" w:type="dxa"/>
          </w:tblCellMar>
        </w:tblPrEx>
        <w:trPr>
          <w:trHeight w:val="1050"/>
        </w:trPr>
        <w:tc>
          <w:tcPr>
            <w:tcW w:w="3480" w:type="dxa"/>
            <w:tcBorders>
              <w:top w:val="none" w:sz="6" w:space="0" w:color="auto"/>
              <w:left w:val="none" w:sz="6" w:space="0" w:color="auto"/>
              <w:bottom w:val="none" w:sz="6" w:space="0" w:color="auto"/>
              <w:right w:val="none" w:sz="6" w:space="0" w:color="auto"/>
            </w:tcBorders>
          </w:tcPr>
          <w:p w14:paraId="0CF07B03"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LOS </w:t>
            </w:r>
          </w:p>
        </w:tc>
        <w:tc>
          <w:tcPr>
            <w:tcW w:w="3138" w:type="dxa"/>
            <w:tcBorders>
              <w:top w:val="none" w:sz="6" w:space="0" w:color="auto"/>
              <w:left w:val="none" w:sz="6" w:space="0" w:color="auto"/>
              <w:bottom w:val="none" w:sz="6" w:space="0" w:color="auto"/>
              <w:right w:val="none" w:sz="6" w:space="0" w:color="auto"/>
            </w:tcBorders>
          </w:tcPr>
          <w:p w14:paraId="00ABD259"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Length of Stay </w:t>
            </w:r>
          </w:p>
        </w:tc>
        <w:tc>
          <w:tcPr>
            <w:tcW w:w="3642" w:type="dxa"/>
            <w:tcBorders>
              <w:top w:val="none" w:sz="6" w:space="0" w:color="auto"/>
              <w:left w:val="none" w:sz="6" w:space="0" w:color="auto"/>
              <w:bottom w:val="none" w:sz="6" w:space="0" w:color="auto"/>
              <w:right w:val="none" w:sz="6" w:space="0" w:color="auto"/>
            </w:tcBorders>
          </w:tcPr>
          <w:p w14:paraId="5AB152E8"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The number of days between the beginning of services and the end of services, or in the case of permanent housing, the number of days between the housing move in date and the exit from housing. Length of stay is calculated using project start and exit dates, shelter stay dates, or for permanent housing, the housing move-in date and project exit. </w:t>
            </w:r>
          </w:p>
        </w:tc>
      </w:tr>
      <w:tr w:rsidR="00780BD9" w:rsidRPr="00780BD9" w14:paraId="26955BCA" w14:textId="77777777" w:rsidTr="00780BD9">
        <w:tblPrEx>
          <w:tblCellMar>
            <w:top w:w="0" w:type="dxa"/>
            <w:bottom w:w="0" w:type="dxa"/>
          </w:tblCellMar>
        </w:tblPrEx>
        <w:trPr>
          <w:trHeight w:val="1050"/>
        </w:trPr>
        <w:tc>
          <w:tcPr>
            <w:tcW w:w="3480" w:type="dxa"/>
            <w:tcBorders>
              <w:top w:val="none" w:sz="6" w:space="0" w:color="auto"/>
              <w:left w:val="none" w:sz="6" w:space="0" w:color="auto"/>
              <w:bottom w:val="none" w:sz="6" w:space="0" w:color="auto"/>
              <w:right w:val="none" w:sz="6" w:space="0" w:color="auto"/>
            </w:tcBorders>
          </w:tcPr>
          <w:p w14:paraId="5D13422D"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LSA </w:t>
            </w:r>
          </w:p>
        </w:tc>
        <w:tc>
          <w:tcPr>
            <w:tcW w:w="3138" w:type="dxa"/>
            <w:tcBorders>
              <w:top w:val="none" w:sz="6" w:space="0" w:color="auto"/>
              <w:left w:val="none" w:sz="6" w:space="0" w:color="auto"/>
              <w:bottom w:val="none" w:sz="6" w:space="0" w:color="auto"/>
              <w:right w:val="none" w:sz="6" w:space="0" w:color="auto"/>
            </w:tcBorders>
          </w:tcPr>
          <w:p w14:paraId="46DEA06C"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Longitudinal System Analysis </w:t>
            </w:r>
          </w:p>
        </w:tc>
        <w:tc>
          <w:tcPr>
            <w:tcW w:w="3642" w:type="dxa"/>
            <w:tcBorders>
              <w:top w:val="none" w:sz="6" w:space="0" w:color="auto"/>
              <w:left w:val="none" w:sz="6" w:space="0" w:color="auto"/>
              <w:bottom w:val="none" w:sz="6" w:space="0" w:color="auto"/>
              <w:right w:val="none" w:sz="6" w:space="0" w:color="auto"/>
            </w:tcBorders>
          </w:tcPr>
          <w:p w14:paraId="65BD3489"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The Longitudinal Systems Analysis (LSA) report is produced from </w:t>
            </w:r>
            <w:proofErr w:type="gramStart"/>
            <w:r w:rsidRPr="00780BD9">
              <w:rPr>
                <w:rFonts w:ascii="Calibri Light" w:hAnsi="Calibri Light" w:cs="Calibri Light"/>
                <w:b/>
                <w:bCs/>
                <w:sz w:val="22"/>
                <w:szCs w:val="22"/>
              </w:rPr>
              <w:t>a CoC’s</w:t>
            </w:r>
            <w:proofErr w:type="gramEnd"/>
            <w:r w:rsidRPr="00780BD9">
              <w:rPr>
                <w:rFonts w:ascii="Calibri Light" w:hAnsi="Calibri Light" w:cs="Calibri Light"/>
                <w:b/>
                <w:bCs/>
                <w:sz w:val="22"/>
                <w:szCs w:val="22"/>
              </w:rPr>
              <w:t xml:space="preserve"> Homelessness Management Information System (HMIS) and submitted annually to HUD. It provides HUD and Continuums of Care (CoCs) with critical information about how people experiencing homelessness use their system of care. </w:t>
            </w:r>
          </w:p>
        </w:tc>
      </w:tr>
      <w:tr w:rsidR="00780BD9" w:rsidRPr="00780BD9" w14:paraId="43D9B37A" w14:textId="77777777" w:rsidTr="00780BD9">
        <w:tblPrEx>
          <w:tblCellMar>
            <w:top w:w="0" w:type="dxa"/>
            <w:bottom w:w="0" w:type="dxa"/>
          </w:tblCellMar>
        </w:tblPrEx>
        <w:trPr>
          <w:trHeight w:val="1050"/>
        </w:trPr>
        <w:tc>
          <w:tcPr>
            <w:tcW w:w="3480" w:type="dxa"/>
            <w:tcBorders>
              <w:top w:val="none" w:sz="6" w:space="0" w:color="auto"/>
              <w:left w:val="none" w:sz="6" w:space="0" w:color="auto"/>
              <w:bottom w:val="none" w:sz="6" w:space="0" w:color="auto"/>
              <w:right w:val="none" w:sz="6" w:space="0" w:color="auto"/>
            </w:tcBorders>
          </w:tcPr>
          <w:p w14:paraId="56F152BB"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PATH </w:t>
            </w:r>
          </w:p>
        </w:tc>
        <w:tc>
          <w:tcPr>
            <w:tcW w:w="3138" w:type="dxa"/>
            <w:tcBorders>
              <w:top w:val="none" w:sz="6" w:space="0" w:color="auto"/>
              <w:left w:val="none" w:sz="6" w:space="0" w:color="auto"/>
              <w:bottom w:val="none" w:sz="6" w:space="0" w:color="auto"/>
              <w:right w:val="none" w:sz="6" w:space="0" w:color="auto"/>
            </w:tcBorders>
          </w:tcPr>
          <w:p w14:paraId="02FFC25A"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Projects for Assistance in Transition from Homelessness </w:t>
            </w:r>
          </w:p>
        </w:tc>
        <w:tc>
          <w:tcPr>
            <w:tcW w:w="3642" w:type="dxa"/>
            <w:tcBorders>
              <w:top w:val="none" w:sz="6" w:space="0" w:color="auto"/>
              <w:left w:val="none" w:sz="6" w:space="0" w:color="auto"/>
              <w:bottom w:val="none" w:sz="6" w:space="0" w:color="auto"/>
              <w:right w:val="none" w:sz="6" w:space="0" w:color="auto"/>
            </w:tcBorders>
          </w:tcPr>
          <w:p w14:paraId="28CFB82F"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PATH is funded by the Substance Abuse and Mental Health Services Administration (SAMHSA). It provides services to </w:t>
            </w:r>
            <w:proofErr w:type="gramStart"/>
            <w:r w:rsidRPr="00780BD9">
              <w:rPr>
                <w:rFonts w:ascii="Calibri Light" w:hAnsi="Calibri Light" w:cs="Calibri Light"/>
                <w:b/>
                <w:bCs/>
                <w:sz w:val="22"/>
                <w:szCs w:val="22"/>
              </w:rPr>
              <w:t>persons</w:t>
            </w:r>
            <w:proofErr w:type="gramEnd"/>
            <w:r w:rsidRPr="00780BD9">
              <w:rPr>
                <w:rFonts w:ascii="Calibri Light" w:hAnsi="Calibri Light" w:cs="Calibri Light"/>
                <w:b/>
                <w:bCs/>
                <w:sz w:val="22"/>
                <w:szCs w:val="22"/>
              </w:rPr>
              <w:t xml:space="preserve"> experiencing </w:t>
            </w:r>
            <w:r w:rsidRPr="00780BD9">
              <w:rPr>
                <w:rFonts w:ascii="Calibri Light" w:hAnsi="Calibri Light" w:cs="Calibri Light"/>
                <w:b/>
                <w:bCs/>
                <w:sz w:val="22"/>
                <w:szCs w:val="22"/>
              </w:rPr>
              <w:lastRenderedPageBreak/>
              <w:t xml:space="preserve">homelessness with mental health conditions, primarily through street outreach, to link them to permanent supportive housing. </w:t>
            </w:r>
          </w:p>
        </w:tc>
      </w:tr>
      <w:tr w:rsidR="00780BD9" w:rsidRPr="00780BD9" w14:paraId="53B3DD7E" w14:textId="77777777" w:rsidTr="00780BD9">
        <w:tblPrEx>
          <w:tblCellMar>
            <w:top w:w="0" w:type="dxa"/>
            <w:bottom w:w="0" w:type="dxa"/>
          </w:tblCellMar>
        </w:tblPrEx>
        <w:trPr>
          <w:trHeight w:val="1050"/>
        </w:trPr>
        <w:tc>
          <w:tcPr>
            <w:tcW w:w="3480" w:type="dxa"/>
            <w:tcBorders>
              <w:top w:val="none" w:sz="6" w:space="0" w:color="auto"/>
              <w:left w:val="none" w:sz="6" w:space="0" w:color="auto"/>
              <w:bottom w:val="none" w:sz="6" w:space="0" w:color="auto"/>
              <w:right w:val="none" w:sz="6" w:space="0" w:color="auto"/>
            </w:tcBorders>
          </w:tcPr>
          <w:p w14:paraId="11C715FB"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lastRenderedPageBreak/>
              <w:t xml:space="preserve">PH </w:t>
            </w:r>
          </w:p>
        </w:tc>
        <w:tc>
          <w:tcPr>
            <w:tcW w:w="3138" w:type="dxa"/>
            <w:tcBorders>
              <w:top w:val="none" w:sz="6" w:space="0" w:color="auto"/>
              <w:left w:val="none" w:sz="6" w:space="0" w:color="auto"/>
              <w:bottom w:val="none" w:sz="6" w:space="0" w:color="auto"/>
              <w:right w:val="none" w:sz="6" w:space="0" w:color="auto"/>
            </w:tcBorders>
          </w:tcPr>
          <w:p w14:paraId="1DA2FCAD"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Permanent Housing </w:t>
            </w:r>
          </w:p>
        </w:tc>
        <w:tc>
          <w:tcPr>
            <w:tcW w:w="3642" w:type="dxa"/>
            <w:tcBorders>
              <w:top w:val="none" w:sz="6" w:space="0" w:color="auto"/>
              <w:left w:val="none" w:sz="6" w:space="0" w:color="auto"/>
              <w:bottom w:val="none" w:sz="6" w:space="0" w:color="auto"/>
              <w:right w:val="none" w:sz="6" w:space="0" w:color="auto"/>
            </w:tcBorders>
          </w:tcPr>
          <w:p w14:paraId="10C43F0F"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Permanent Housing includes both Rapid Rehousing and Permanent Supportive Housing project types. </w:t>
            </w:r>
          </w:p>
        </w:tc>
      </w:tr>
      <w:tr w:rsidR="00780BD9" w:rsidRPr="00780BD9" w14:paraId="5ACD4874" w14:textId="77777777" w:rsidTr="00780BD9">
        <w:tblPrEx>
          <w:tblCellMar>
            <w:top w:w="0" w:type="dxa"/>
            <w:bottom w:w="0" w:type="dxa"/>
          </w:tblCellMar>
        </w:tblPrEx>
        <w:trPr>
          <w:trHeight w:val="1050"/>
        </w:trPr>
        <w:tc>
          <w:tcPr>
            <w:tcW w:w="3480" w:type="dxa"/>
            <w:tcBorders>
              <w:top w:val="none" w:sz="6" w:space="0" w:color="auto"/>
              <w:left w:val="none" w:sz="6" w:space="0" w:color="auto"/>
              <w:bottom w:val="none" w:sz="6" w:space="0" w:color="auto"/>
              <w:right w:val="none" w:sz="6" w:space="0" w:color="auto"/>
            </w:tcBorders>
          </w:tcPr>
          <w:p w14:paraId="364509B5"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PHA </w:t>
            </w:r>
          </w:p>
        </w:tc>
        <w:tc>
          <w:tcPr>
            <w:tcW w:w="3138" w:type="dxa"/>
            <w:tcBorders>
              <w:top w:val="none" w:sz="6" w:space="0" w:color="auto"/>
              <w:left w:val="none" w:sz="6" w:space="0" w:color="auto"/>
              <w:bottom w:val="none" w:sz="6" w:space="0" w:color="auto"/>
              <w:right w:val="none" w:sz="6" w:space="0" w:color="auto"/>
            </w:tcBorders>
          </w:tcPr>
          <w:p w14:paraId="119243EA"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Public Housing Authority </w:t>
            </w:r>
          </w:p>
        </w:tc>
        <w:tc>
          <w:tcPr>
            <w:tcW w:w="3642" w:type="dxa"/>
            <w:tcBorders>
              <w:top w:val="none" w:sz="6" w:space="0" w:color="auto"/>
              <w:left w:val="none" w:sz="6" w:space="0" w:color="auto"/>
              <w:bottom w:val="none" w:sz="6" w:space="0" w:color="auto"/>
              <w:right w:val="none" w:sz="6" w:space="0" w:color="auto"/>
            </w:tcBorders>
          </w:tcPr>
          <w:p w14:paraId="334435B6"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A Public Housing Agency (PHA) is a governmental entity or public body authorized to administer public housing programs in a geographic area, such as the Housing Choice Voucher Program, to </w:t>
            </w:r>
            <w:proofErr w:type="gramStart"/>
            <w:r w:rsidRPr="00780BD9">
              <w:rPr>
                <w:rFonts w:ascii="Calibri Light" w:hAnsi="Calibri Light" w:cs="Calibri Light"/>
                <w:b/>
                <w:bCs/>
                <w:sz w:val="22"/>
                <w:szCs w:val="22"/>
              </w:rPr>
              <w:t>low income</w:t>
            </w:r>
            <w:proofErr w:type="gramEnd"/>
            <w:r w:rsidRPr="00780BD9">
              <w:rPr>
                <w:rFonts w:ascii="Calibri Light" w:hAnsi="Calibri Light" w:cs="Calibri Light"/>
                <w:b/>
                <w:bCs/>
                <w:sz w:val="22"/>
                <w:szCs w:val="22"/>
              </w:rPr>
              <w:t xml:space="preserve"> households. PHAs operate under the regulations and oversight of the U.S. Department of Housing and Urban Development (HUD). PHA regulations primarily concern the administration and operation of public housing programs, including eligibility, admissions, occupancy, and financial management. These regulations are governed by HUD and are detailed in documents like the PHA's Administrative Plan and the Admissions and Continued Occupancy Policy (ACOP). </w:t>
            </w:r>
          </w:p>
        </w:tc>
      </w:tr>
      <w:tr w:rsidR="00780BD9" w:rsidRPr="00780BD9" w14:paraId="7DAFF00D" w14:textId="77777777" w:rsidTr="00780BD9">
        <w:tblPrEx>
          <w:tblCellMar>
            <w:top w:w="0" w:type="dxa"/>
            <w:bottom w:w="0" w:type="dxa"/>
          </w:tblCellMar>
        </w:tblPrEx>
        <w:trPr>
          <w:trHeight w:val="1050"/>
        </w:trPr>
        <w:tc>
          <w:tcPr>
            <w:tcW w:w="3480" w:type="dxa"/>
            <w:tcBorders>
              <w:top w:val="none" w:sz="6" w:space="0" w:color="auto"/>
              <w:left w:val="none" w:sz="6" w:space="0" w:color="auto"/>
              <w:bottom w:val="none" w:sz="6" w:space="0" w:color="auto"/>
              <w:right w:val="none" w:sz="6" w:space="0" w:color="auto"/>
            </w:tcBorders>
          </w:tcPr>
          <w:p w14:paraId="106172F8"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PHI </w:t>
            </w:r>
          </w:p>
        </w:tc>
        <w:tc>
          <w:tcPr>
            <w:tcW w:w="3138" w:type="dxa"/>
            <w:tcBorders>
              <w:top w:val="none" w:sz="6" w:space="0" w:color="auto"/>
              <w:left w:val="none" w:sz="6" w:space="0" w:color="auto"/>
              <w:bottom w:val="none" w:sz="6" w:space="0" w:color="auto"/>
              <w:right w:val="none" w:sz="6" w:space="0" w:color="auto"/>
            </w:tcBorders>
          </w:tcPr>
          <w:p w14:paraId="05844BFF"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Protected Health Information </w:t>
            </w:r>
          </w:p>
        </w:tc>
        <w:tc>
          <w:tcPr>
            <w:tcW w:w="3642" w:type="dxa"/>
            <w:tcBorders>
              <w:top w:val="none" w:sz="6" w:space="0" w:color="auto"/>
              <w:left w:val="none" w:sz="6" w:space="0" w:color="auto"/>
              <w:bottom w:val="none" w:sz="6" w:space="0" w:color="auto"/>
              <w:right w:val="none" w:sz="6" w:space="0" w:color="auto"/>
            </w:tcBorders>
          </w:tcPr>
          <w:p w14:paraId="3F641615"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Protected Health Information is any information in a record that can be used to identify an individual, and that was created, used, or disclosed </w:t>
            </w:r>
            <w:proofErr w:type="gramStart"/>
            <w:r w:rsidRPr="00780BD9">
              <w:rPr>
                <w:rFonts w:ascii="Calibri Light" w:hAnsi="Calibri Light" w:cs="Calibri Light"/>
                <w:b/>
                <w:bCs/>
                <w:sz w:val="22"/>
                <w:szCs w:val="22"/>
              </w:rPr>
              <w:t>in the course of</w:t>
            </w:r>
            <w:proofErr w:type="gramEnd"/>
            <w:r w:rsidRPr="00780BD9">
              <w:rPr>
                <w:rFonts w:ascii="Calibri Light" w:hAnsi="Calibri Light" w:cs="Calibri Light"/>
                <w:b/>
                <w:bCs/>
                <w:sz w:val="22"/>
                <w:szCs w:val="22"/>
              </w:rPr>
              <w:t xml:space="preserve"> providing a health care service, such as a diagnosis or treatment. </w:t>
            </w:r>
          </w:p>
        </w:tc>
      </w:tr>
      <w:tr w:rsidR="00780BD9" w:rsidRPr="00780BD9" w14:paraId="02CD5883" w14:textId="77777777" w:rsidTr="00780BD9">
        <w:tblPrEx>
          <w:tblCellMar>
            <w:top w:w="0" w:type="dxa"/>
            <w:bottom w:w="0" w:type="dxa"/>
          </w:tblCellMar>
        </w:tblPrEx>
        <w:trPr>
          <w:trHeight w:val="1050"/>
        </w:trPr>
        <w:tc>
          <w:tcPr>
            <w:tcW w:w="3480" w:type="dxa"/>
            <w:tcBorders>
              <w:top w:val="none" w:sz="6" w:space="0" w:color="auto"/>
              <w:left w:val="none" w:sz="6" w:space="0" w:color="auto"/>
              <w:bottom w:val="none" w:sz="6" w:space="0" w:color="auto"/>
              <w:right w:val="none" w:sz="6" w:space="0" w:color="auto"/>
            </w:tcBorders>
          </w:tcPr>
          <w:p w14:paraId="61992D6A"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lastRenderedPageBreak/>
              <w:t xml:space="preserve">PL </w:t>
            </w:r>
          </w:p>
        </w:tc>
        <w:tc>
          <w:tcPr>
            <w:tcW w:w="3138" w:type="dxa"/>
            <w:tcBorders>
              <w:top w:val="none" w:sz="6" w:space="0" w:color="auto"/>
              <w:left w:val="none" w:sz="6" w:space="0" w:color="auto"/>
              <w:bottom w:val="none" w:sz="6" w:space="0" w:color="auto"/>
              <w:right w:val="none" w:sz="6" w:space="0" w:color="auto"/>
            </w:tcBorders>
          </w:tcPr>
          <w:p w14:paraId="4C701DBD"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Priority List </w:t>
            </w:r>
          </w:p>
        </w:tc>
        <w:tc>
          <w:tcPr>
            <w:tcW w:w="3642" w:type="dxa"/>
            <w:tcBorders>
              <w:top w:val="none" w:sz="6" w:space="0" w:color="auto"/>
              <w:left w:val="none" w:sz="6" w:space="0" w:color="auto"/>
              <w:bottom w:val="none" w:sz="6" w:space="0" w:color="auto"/>
              <w:right w:val="none" w:sz="6" w:space="0" w:color="auto"/>
            </w:tcBorders>
          </w:tcPr>
          <w:p w14:paraId="0431BA86"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A document utilized by Continuums of Care (CoCs) to prioritize and submit project applications for funding in the annual CoC Program Competition. </w:t>
            </w:r>
          </w:p>
        </w:tc>
      </w:tr>
      <w:tr w:rsidR="00780BD9" w:rsidRPr="00780BD9" w14:paraId="7D51998F" w14:textId="77777777" w:rsidTr="00780BD9">
        <w:tblPrEx>
          <w:tblCellMar>
            <w:top w:w="0" w:type="dxa"/>
            <w:bottom w:w="0" w:type="dxa"/>
          </w:tblCellMar>
        </w:tblPrEx>
        <w:trPr>
          <w:trHeight w:val="1050"/>
        </w:trPr>
        <w:tc>
          <w:tcPr>
            <w:tcW w:w="3480" w:type="dxa"/>
            <w:tcBorders>
              <w:top w:val="none" w:sz="6" w:space="0" w:color="auto"/>
              <w:left w:val="none" w:sz="6" w:space="0" w:color="auto"/>
              <w:bottom w:val="none" w:sz="6" w:space="0" w:color="auto"/>
              <w:right w:val="none" w:sz="6" w:space="0" w:color="auto"/>
            </w:tcBorders>
          </w:tcPr>
          <w:p w14:paraId="3C4B2035"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PPRN </w:t>
            </w:r>
          </w:p>
        </w:tc>
        <w:tc>
          <w:tcPr>
            <w:tcW w:w="3138" w:type="dxa"/>
            <w:tcBorders>
              <w:top w:val="none" w:sz="6" w:space="0" w:color="auto"/>
              <w:left w:val="none" w:sz="6" w:space="0" w:color="auto"/>
              <w:bottom w:val="none" w:sz="6" w:space="0" w:color="auto"/>
              <w:right w:val="none" w:sz="6" w:space="0" w:color="auto"/>
            </w:tcBorders>
          </w:tcPr>
          <w:p w14:paraId="291F6926"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Preliminary Pro Rata Need </w:t>
            </w:r>
          </w:p>
        </w:tc>
        <w:tc>
          <w:tcPr>
            <w:tcW w:w="3642" w:type="dxa"/>
            <w:tcBorders>
              <w:top w:val="none" w:sz="6" w:space="0" w:color="auto"/>
              <w:left w:val="none" w:sz="6" w:space="0" w:color="auto"/>
              <w:bottom w:val="none" w:sz="6" w:space="0" w:color="auto"/>
              <w:right w:val="none" w:sz="6" w:space="0" w:color="auto"/>
            </w:tcBorders>
          </w:tcPr>
          <w:p w14:paraId="35118CC1"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The Preliminary Pro Rata Need is the amount of funds a CoC could receive based upon the geographic areas included by the CoC as part of their geography and reviewed by HUD during the CoC Program Registration process. </w:t>
            </w:r>
          </w:p>
        </w:tc>
      </w:tr>
      <w:tr w:rsidR="00780BD9" w:rsidRPr="00780BD9" w14:paraId="56D14D5B" w14:textId="77777777" w:rsidTr="00780BD9">
        <w:tblPrEx>
          <w:tblCellMar>
            <w:top w:w="0" w:type="dxa"/>
            <w:bottom w:w="0" w:type="dxa"/>
          </w:tblCellMar>
        </w:tblPrEx>
        <w:trPr>
          <w:trHeight w:val="1050"/>
        </w:trPr>
        <w:tc>
          <w:tcPr>
            <w:tcW w:w="3480" w:type="dxa"/>
            <w:tcBorders>
              <w:top w:val="none" w:sz="6" w:space="0" w:color="auto"/>
              <w:left w:val="none" w:sz="6" w:space="0" w:color="auto"/>
              <w:bottom w:val="none" w:sz="6" w:space="0" w:color="auto"/>
              <w:right w:val="none" w:sz="6" w:space="0" w:color="auto"/>
            </w:tcBorders>
          </w:tcPr>
          <w:p w14:paraId="3E7CEDCC"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PHI </w:t>
            </w:r>
          </w:p>
        </w:tc>
        <w:tc>
          <w:tcPr>
            <w:tcW w:w="3138" w:type="dxa"/>
            <w:tcBorders>
              <w:top w:val="none" w:sz="6" w:space="0" w:color="auto"/>
              <w:left w:val="none" w:sz="6" w:space="0" w:color="auto"/>
              <w:bottom w:val="none" w:sz="6" w:space="0" w:color="auto"/>
              <w:right w:val="none" w:sz="6" w:space="0" w:color="auto"/>
            </w:tcBorders>
          </w:tcPr>
          <w:p w14:paraId="59BB85D9"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Protected Health Information </w:t>
            </w:r>
          </w:p>
        </w:tc>
        <w:tc>
          <w:tcPr>
            <w:tcW w:w="3642" w:type="dxa"/>
            <w:tcBorders>
              <w:top w:val="none" w:sz="6" w:space="0" w:color="auto"/>
              <w:left w:val="none" w:sz="6" w:space="0" w:color="auto"/>
              <w:bottom w:val="none" w:sz="6" w:space="0" w:color="auto"/>
              <w:right w:val="none" w:sz="6" w:space="0" w:color="auto"/>
            </w:tcBorders>
          </w:tcPr>
          <w:p w14:paraId="0A0AAE67"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Protected Health Information is any information in a record that can be used to identify an individual, and that was created, used, or disclosed </w:t>
            </w:r>
            <w:proofErr w:type="gramStart"/>
            <w:r w:rsidRPr="00780BD9">
              <w:rPr>
                <w:rFonts w:ascii="Calibri Light" w:hAnsi="Calibri Light" w:cs="Calibri Light"/>
                <w:b/>
                <w:bCs/>
                <w:sz w:val="22"/>
                <w:szCs w:val="22"/>
              </w:rPr>
              <w:t>in the course of</w:t>
            </w:r>
            <w:proofErr w:type="gramEnd"/>
            <w:r w:rsidRPr="00780BD9">
              <w:rPr>
                <w:rFonts w:ascii="Calibri Light" w:hAnsi="Calibri Light" w:cs="Calibri Light"/>
                <w:b/>
                <w:bCs/>
                <w:sz w:val="22"/>
                <w:szCs w:val="22"/>
              </w:rPr>
              <w:t xml:space="preserve"> providing a health care service, such as a diagnosis or treatment. </w:t>
            </w:r>
          </w:p>
        </w:tc>
      </w:tr>
      <w:tr w:rsidR="00780BD9" w:rsidRPr="00780BD9" w14:paraId="466075D4" w14:textId="77777777" w:rsidTr="00780BD9">
        <w:tblPrEx>
          <w:tblCellMar>
            <w:top w:w="0" w:type="dxa"/>
            <w:bottom w:w="0" w:type="dxa"/>
          </w:tblCellMar>
        </w:tblPrEx>
        <w:trPr>
          <w:trHeight w:val="1050"/>
        </w:trPr>
        <w:tc>
          <w:tcPr>
            <w:tcW w:w="3480" w:type="dxa"/>
            <w:tcBorders>
              <w:top w:val="none" w:sz="6" w:space="0" w:color="auto"/>
              <w:left w:val="none" w:sz="6" w:space="0" w:color="auto"/>
              <w:bottom w:val="none" w:sz="6" w:space="0" w:color="auto"/>
              <w:right w:val="none" w:sz="6" w:space="0" w:color="auto"/>
            </w:tcBorders>
          </w:tcPr>
          <w:p w14:paraId="36916EC8"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PPI </w:t>
            </w:r>
          </w:p>
        </w:tc>
        <w:tc>
          <w:tcPr>
            <w:tcW w:w="3138" w:type="dxa"/>
            <w:tcBorders>
              <w:top w:val="none" w:sz="6" w:space="0" w:color="auto"/>
              <w:left w:val="none" w:sz="6" w:space="0" w:color="auto"/>
              <w:bottom w:val="none" w:sz="6" w:space="0" w:color="auto"/>
              <w:right w:val="none" w:sz="6" w:space="0" w:color="auto"/>
            </w:tcBorders>
          </w:tcPr>
          <w:p w14:paraId="0453B684"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Protected Personal Information </w:t>
            </w:r>
          </w:p>
        </w:tc>
        <w:tc>
          <w:tcPr>
            <w:tcW w:w="3642" w:type="dxa"/>
            <w:tcBorders>
              <w:top w:val="none" w:sz="6" w:space="0" w:color="auto"/>
              <w:left w:val="none" w:sz="6" w:space="0" w:color="auto"/>
              <w:bottom w:val="none" w:sz="6" w:space="0" w:color="auto"/>
              <w:right w:val="none" w:sz="6" w:space="0" w:color="auto"/>
            </w:tcBorders>
          </w:tcPr>
          <w:p w14:paraId="1A8DA0D9"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Protected Personal Information is a category of sensitive information that is associated with an individual. </w:t>
            </w:r>
          </w:p>
        </w:tc>
      </w:tr>
      <w:tr w:rsidR="00780BD9" w:rsidRPr="00780BD9" w14:paraId="25728773" w14:textId="77777777" w:rsidTr="00780BD9">
        <w:tblPrEx>
          <w:tblCellMar>
            <w:top w:w="0" w:type="dxa"/>
            <w:bottom w:w="0" w:type="dxa"/>
          </w:tblCellMar>
        </w:tblPrEx>
        <w:trPr>
          <w:trHeight w:val="1050"/>
        </w:trPr>
        <w:tc>
          <w:tcPr>
            <w:tcW w:w="3480" w:type="dxa"/>
            <w:tcBorders>
              <w:top w:val="none" w:sz="6" w:space="0" w:color="auto"/>
              <w:left w:val="none" w:sz="6" w:space="0" w:color="auto"/>
              <w:bottom w:val="none" w:sz="6" w:space="0" w:color="auto"/>
              <w:right w:val="none" w:sz="6" w:space="0" w:color="auto"/>
            </w:tcBorders>
          </w:tcPr>
          <w:p w14:paraId="7D952D6A"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PSH </w:t>
            </w:r>
          </w:p>
        </w:tc>
        <w:tc>
          <w:tcPr>
            <w:tcW w:w="3138" w:type="dxa"/>
            <w:tcBorders>
              <w:top w:val="none" w:sz="6" w:space="0" w:color="auto"/>
              <w:left w:val="none" w:sz="6" w:space="0" w:color="auto"/>
              <w:bottom w:val="none" w:sz="6" w:space="0" w:color="auto"/>
              <w:right w:val="none" w:sz="6" w:space="0" w:color="auto"/>
            </w:tcBorders>
          </w:tcPr>
          <w:p w14:paraId="5EFC2ED2"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Permanent Supportive Housing </w:t>
            </w:r>
          </w:p>
        </w:tc>
        <w:tc>
          <w:tcPr>
            <w:tcW w:w="3642" w:type="dxa"/>
            <w:tcBorders>
              <w:top w:val="none" w:sz="6" w:space="0" w:color="auto"/>
              <w:left w:val="none" w:sz="6" w:space="0" w:color="auto"/>
              <w:bottom w:val="none" w:sz="6" w:space="0" w:color="auto"/>
              <w:right w:val="none" w:sz="6" w:space="0" w:color="auto"/>
            </w:tcBorders>
          </w:tcPr>
          <w:p w14:paraId="0B9D1D1D"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Permanent housing in which housing assistance (e.g., long-term leasing or rental assistance) and supportive services are provided to assist households with at least one member (adult or child) with a disability in </w:t>
            </w:r>
            <w:proofErr w:type="gramStart"/>
            <w:r w:rsidRPr="00780BD9">
              <w:rPr>
                <w:rFonts w:ascii="Calibri Light" w:hAnsi="Calibri Light" w:cs="Calibri Light"/>
                <w:b/>
                <w:bCs/>
                <w:sz w:val="22"/>
                <w:szCs w:val="22"/>
              </w:rPr>
              <w:t>achieving housing</w:t>
            </w:r>
            <w:proofErr w:type="gramEnd"/>
            <w:r w:rsidRPr="00780BD9">
              <w:rPr>
                <w:rFonts w:ascii="Calibri Light" w:hAnsi="Calibri Light" w:cs="Calibri Light"/>
                <w:b/>
                <w:bCs/>
                <w:sz w:val="22"/>
                <w:szCs w:val="22"/>
              </w:rPr>
              <w:t xml:space="preserve"> stability. </w:t>
            </w:r>
          </w:p>
        </w:tc>
      </w:tr>
      <w:tr w:rsidR="00780BD9" w:rsidRPr="00780BD9" w14:paraId="06FBE55D" w14:textId="77777777" w:rsidTr="00780BD9">
        <w:tblPrEx>
          <w:tblCellMar>
            <w:top w:w="0" w:type="dxa"/>
            <w:bottom w:w="0" w:type="dxa"/>
          </w:tblCellMar>
        </w:tblPrEx>
        <w:trPr>
          <w:trHeight w:val="1050"/>
        </w:trPr>
        <w:tc>
          <w:tcPr>
            <w:tcW w:w="3480" w:type="dxa"/>
            <w:tcBorders>
              <w:top w:val="none" w:sz="6" w:space="0" w:color="auto"/>
              <w:left w:val="none" w:sz="6" w:space="0" w:color="auto"/>
              <w:bottom w:val="none" w:sz="6" w:space="0" w:color="auto"/>
              <w:right w:val="none" w:sz="6" w:space="0" w:color="auto"/>
            </w:tcBorders>
          </w:tcPr>
          <w:p w14:paraId="35C31D2C"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ROI </w:t>
            </w:r>
          </w:p>
        </w:tc>
        <w:tc>
          <w:tcPr>
            <w:tcW w:w="3138" w:type="dxa"/>
            <w:tcBorders>
              <w:top w:val="none" w:sz="6" w:space="0" w:color="auto"/>
              <w:left w:val="none" w:sz="6" w:space="0" w:color="auto"/>
              <w:bottom w:val="none" w:sz="6" w:space="0" w:color="auto"/>
              <w:right w:val="none" w:sz="6" w:space="0" w:color="auto"/>
            </w:tcBorders>
          </w:tcPr>
          <w:p w14:paraId="1942E506"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Release of Information </w:t>
            </w:r>
          </w:p>
        </w:tc>
        <w:tc>
          <w:tcPr>
            <w:tcW w:w="3642" w:type="dxa"/>
            <w:tcBorders>
              <w:top w:val="none" w:sz="6" w:space="0" w:color="auto"/>
              <w:left w:val="none" w:sz="6" w:space="0" w:color="auto"/>
              <w:bottom w:val="none" w:sz="6" w:space="0" w:color="auto"/>
              <w:right w:val="none" w:sz="6" w:space="0" w:color="auto"/>
            </w:tcBorders>
          </w:tcPr>
          <w:p w14:paraId="3658C7F5"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A ROI gives informed client consent for sharing data between agencies, as well as</w:t>
            </w:r>
            <w:proofErr w:type="gramStart"/>
            <w:r w:rsidRPr="00780BD9">
              <w:rPr>
                <w:rFonts w:ascii="Calibri Light" w:hAnsi="Calibri Light" w:cs="Calibri Light"/>
                <w:b/>
                <w:bCs/>
                <w:sz w:val="22"/>
                <w:szCs w:val="22"/>
              </w:rPr>
              <w:t>, to enter</w:t>
            </w:r>
            <w:proofErr w:type="gramEnd"/>
            <w:r w:rsidRPr="00780BD9">
              <w:rPr>
                <w:rFonts w:ascii="Calibri Light" w:hAnsi="Calibri Light" w:cs="Calibri Light"/>
                <w:b/>
                <w:bCs/>
                <w:sz w:val="22"/>
                <w:szCs w:val="22"/>
              </w:rPr>
              <w:t xml:space="preserve"> data into HMIS or an HMIS comparable database. </w:t>
            </w:r>
          </w:p>
        </w:tc>
      </w:tr>
      <w:tr w:rsidR="00780BD9" w:rsidRPr="00780BD9" w14:paraId="1A3189E8" w14:textId="77777777" w:rsidTr="00780BD9">
        <w:tblPrEx>
          <w:tblCellMar>
            <w:top w:w="0" w:type="dxa"/>
            <w:bottom w:w="0" w:type="dxa"/>
          </w:tblCellMar>
        </w:tblPrEx>
        <w:trPr>
          <w:trHeight w:val="1050"/>
        </w:trPr>
        <w:tc>
          <w:tcPr>
            <w:tcW w:w="3480" w:type="dxa"/>
            <w:tcBorders>
              <w:top w:val="none" w:sz="6" w:space="0" w:color="auto"/>
              <w:left w:val="none" w:sz="6" w:space="0" w:color="auto"/>
              <w:bottom w:val="none" w:sz="6" w:space="0" w:color="auto"/>
              <w:right w:val="none" w:sz="6" w:space="0" w:color="auto"/>
            </w:tcBorders>
          </w:tcPr>
          <w:p w14:paraId="089ACEB8"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lastRenderedPageBreak/>
              <w:t xml:space="preserve">RRH </w:t>
            </w:r>
          </w:p>
        </w:tc>
        <w:tc>
          <w:tcPr>
            <w:tcW w:w="3138" w:type="dxa"/>
            <w:tcBorders>
              <w:top w:val="none" w:sz="6" w:space="0" w:color="auto"/>
              <w:left w:val="none" w:sz="6" w:space="0" w:color="auto"/>
              <w:bottom w:val="none" w:sz="6" w:space="0" w:color="auto"/>
              <w:right w:val="none" w:sz="6" w:space="0" w:color="auto"/>
            </w:tcBorders>
          </w:tcPr>
          <w:p w14:paraId="35F92995"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Rapid Rehousing </w:t>
            </w:r>
          </w:p>
        </w:tc>
        <w:tc>
          <w:tcPr>
            <w:tcW w:w="3642" w:type="dxa"/>
            <w:tcBorders>
              <w:top w:val="none" w:sz="6" w:space="0" w:color="auto"/>
              <w:left w:val="none" w:sz="6" w:space="0" w:color="auto"/>
              <w:bottom w:val="none" w:sz="6" w:space="0" w:color="auto"/>
              <w:right w:val="none" w:sz="6" w:space="0" w:color="auto"/>
            </w:tcBorders>
          </w:tcPr>
          <w:p w14:paraId="32BD1092"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Permanent </w:t>
            </w:r>
            <w:proofErr w:type="gramStart"/>
            <w:r w:rsidRPr="00780BD9">
              <w:rPr>
                <w:rFonts w:ascii="Calibri Light" w:hAnsi="Calibri Light" w:cs="Calibri Light"/>
                <w:b/>
                <w:bCs/>
                <w:sz w:val="22"/>
                <w:szCs w:val="22"/>
              </w:rPr>
              <w:t>housing that</w:t>
            </w:r>
            <w:proofErr w:type="gramEnd"/>
            <w:r w:rsidRPr="00780BD9">
              <w:rPr>
                <w:rFonts w:ascii="Calibri Light" w:hAnsi="Calibri Light" w:cs="Calibri Light"/>
                <w:b/>
                <w:bCs/>
                <w:sz w:val="22"/>
                <w:szCs w:val="22"/>
              </w:rPr>
              <w:t xml:space="preserve"> provides short-term (up to three months) and medium-term (4-24 months) tenant-based rental assistance and supportive services to households experiencing homelessness. </w:t>
            </w:r>
          </w:p>
        </w:tc>
      </w:tr>
      <w:tr w:rsidR="00780BD9" w:rsidRPr="00780BD9" w14:paraId="001C4799" w14:textId="77777777" w:rsidTr="00780BD9">
        <w:tblPrEx>
          <w:tblCellMar>
            <w:top w:w="0" w:type="dxa"/>
            <w:bottom w:w="0" w:type="dxa"/>
          </w:tblCellMar>
        </w:tblPrEx>
        <w:trPr>
          <w:trHeight w:val="1050"/>
        </w:trPr>
        <w:tc>
          <w:tcPr>
            <w:tcW w:w="3480" w:type="dxa"/>
            <w:tcBorders>
              <w:top w:val="none" w:sz="6" w:space="0" w:color="auto"/>
              <w:left w:val="none" w:sz="6" w:space="0" w:color="auto"/>
              <w:bottom w:val="none" w:sz="6" w:space="0" w:color="auto"/>
              <w:right w:val="none" w:sz="6" w:space="0" w:color="auto"/>
            </w:tcBorders>
          </w:tcPr>
          <w:p w14:paraId="79844D17"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SAM </w:t>
            </w:r>
          </w:p>
        </w:tc>
        <w:tc>
          <w:tcPr>
            <w:tcW w:w="3138" w:type="dxa"/>
            <w:tcBorders>
              <w:top w:val="none" w:sz="6" w:space="0" w:color="auto"/>
              <w:left w:val="none" w:sz="6" w:space="0" w:color="auto"/>
              <w:bottom w:val="none" w:sz="6" w:space="0" w:color="auto"/>
              <w:right w:val="none" w:sz="6" w:space="0" w:color="auto"/>
            </w:tcBorders>
          </w:tcPr>
          <w:p w14:paraId="638E53F4"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System for Award Management </w:t>
            </w:r>
          </w:p>
        </w:tc>
        <w:tc>
          <w:tcPr>
            <w:tcW w:w="3642" w:type="dxa"/>
            <w:tcBorders>
              <w:top w:val="none" w:sz="6" w:space="0" w:color="auto"/>
              <w:left w:val="none" w:sz="6" w:space="0" w:color="auto"/>
              <w:bottom w:val="none" w:sz="6" w:space="0" w:color="auto"/>
              <w:right w:val="none" w:sz="6" w:space="0" w:color="auto"/>
            </w:tcBorders>
          </w:tcPr>
          <w:p w14:paraId="6637A75B"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A Federal Repository into which an entity must provide information required to conduct business as a recipient of federal funds. Registration with SAM is required for submission of applications via e-snaps. You can access the website at https://www.sam.gov/SAM/. There is no cost to use SAM. </w:t>
            </w:r>
          </w:p>
        </w:tc>
      </w:tr>
      <w:tr w:rsidR="00780BD9" w:rsidRPr="00780BD9" w14:paraId="010A2FBB" w14:textId="77777777" w:rsidTr="00780BD9">
        <w:tblPrEx>
          <w:tblCellMar>
            <w:top w:w="0" w:type="dxa"/>
            <w:bottom w:w="0" w:type="dxa"/>
          </w:tblCellMar>
        </w:tblPrEx>
        <w:trPr>
          <w:trHeight w:val="1050"/>
        </w:trPr>
        <w:tc>
          <w:tcPr>
            <w:tcW w:w="3480" w:type="dxa"/>
            <w:tcBorders>
              <w:top w:val="none" w:sz="6" w:space="0" w:color="auto"/>
              <w:left w:val="none" w:sz="6" w:space="0" w:color="auto"/>
              <w:bottom w:val="none" w:sz="6" w:space="0" w:color="auto"/>
              <w:right w:val="none" w:sz="6" w:space="0" w:color="auto"/>
            </w:tcBorders>
          </w:tcPr>
          <w:p w14:paraId="57F35D85"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SH </w:t>
            </w:r>
          </w:p>
        </w:tc>
        <w:tc>
          <w:tcPr>
            <w:tcW w:w="3138" w:type="dxa"/>
            <w:tcBorders>
              <w:top w:val="none" w:sz="6" w:space="0" w:color="auto"/>
              <w:left w:val="none" w:sz="6" w:space="0" w:color="auto"/>
              <w:bottom w:val="none" w:sz="6" w:space="0" w:color="auto"/>
              <w:right w:val="none" w:sz="6" w:space="0" w:color="auto"/>
            </w:tcBorders>
          </w:tcPr>
          <w:p w14:paraId="2E57A637" w14:textId="77777777" w:rsidR="00780BD9" w:rsidRPr="00780BD9" w:rsidRDefault="00780BD9" w:rsidP="00780BD9">
            <w:pPr>
              <w:rPr>
                <w:rFonts w:ascii="Calibri Light" w:hAnsi="Calibri Light" w:cs="Calibri Light"/>
                <w:b/>
                <w:bCs/>
                <w:sz w:val="22"/>
                <w:szCs w:val="22"/>
              </w:rPr>
            </w:pPr>
            <w:proofErr w:type="gramStart"/>
            <w:r w:rsidRPr="00780BD9">
              <w:rPr>
                <w:rFonts w:ascii="Calibri Light" w:hAnsi="Calibri Light" w:cs="Calibri Light"/>
                <w:b/>
                <w:bCs/>
                <w:sz w:val="22"/>
                <w:szCs w:val="22"/>
              </w:rPr>
              <w:t>Safe Haven</w:t>
            </w:r>
            <w:proofErr w:type="gramEnd"/>
            <w:r w:rsidRPr="00780BD9">
              <w:rPr>
                <w:rFonts w:ascii="Calibri Light" w:hAnsi="Calibri Light" w:cs="Calibri Light"/>
                <w:b/>
                <w:bCs/>
                <w:sz w:val="22"/>
                <w:szCs w:val="22"/>
              </w:rPr>
              <w:t xml:space="preserve"> </w:t>
            </w:r>
          </w:p>
        </w:tc>
        <w:tc>
          <w:tcPr>
            <w:tcW w:w="3642" w:type="dxa"/>
            <w:tcBorders>
              <w:top w:val="none" w:sz="6" w:space="0" w:color="auto"/>
              <w:left w:val="none" w:sz="6" w:space="0" w:color="auto"/>
              <w:bottom w:val="none" w:sz="6" w:space="0" w:color="auto"/>
              <w:right w:val="none" w:sz="6" w:space="0" w:color="auto"/>
            </w:tcBorders>
          </w:tcPr>
          <w:p w14:paraId="7390473F" w14:textId="77777777" w:rsidR="00780BD9" w:rsidRPr="00780BD9" w:rsidRDefault="00780BD9" w:rsidP="00780BD9">
            <w:pPr>
              <w:rPr>
                <w:rFonts w:ascii="Calibri Light" w:hAnsi="Calibri Light" w:cs="Calibri Light"/>
                <w:b/>
                <w:bCs/>
                <w:sz w:val="22"/>
                <w:szCs w:val="22"/>
              </w:rPr>
            </w:pPr>
            <w:proofErr w:type="gramStart"/>
            <w:r w:rsidRPr="00780BD9">
              <w:rPr>
                <w:rFonts w:ascii="Calibri Light" w:hAnsi="Calibri Light" w:cs="Calibri Light"/>
                <w:b/>
                <w:bCs/>
                <w:sz w:val="22"/>
                <w:szCs w:val="22"/>
              </w:rPr>
              <w:t>Safe Haven</w:t>
            </w:r>
            <w:proofErr w:type="gramEnd"/>
            <w:r w:rsidRPr="00780BD9">
              <w:rPr>
                <w:rFonts w:ascii="Calibri Light" w:hAnsi="Calibri Light" w:cs="Calibri Light"/>
                <w:b/>
                <w:bCs/>
                <w:sz w:val="22"/>
                <w:szCs w:val="22"/>
              </w:rPr>
              <w:t xml:space="preserve"> is a form of supportive housing that serves hard-to-reach homeless persons with severe mental illness who come primarily from the streets and have been unable or unwilling to participate in housing or supportive services. </w:t>
            </w:r>
          </w:p>
        </w:tc>
      </w:tr>
      <w:tr w:rsidR="00780BD9" w:rsidRPr="00780BD9" w14:paraId="10E51B15" w14:textId="77777777" w:rsidTr="00780BD9">
        <w:tblPrEx>
          <w:tblCellMar>
            <w:top w:w="0" w:type="dxa"/>
            <w:bottom w:w="0" w:type="dxa"/>
          </w:tblCellMar>
        </w:tblPrEx>
        <w:trPr>
          <w:trHeight w:val="1050"/>
        </w:trPr>
        <w:tc>
          <w:tcPr>
            <w:tcW w:w="3480" w:type="dxa"/>
            <w:tcBorders>
              <w:top w:val="none" w:sz="6" w:space="0" w:color="auto"/>
              <w:left w:val="none" w:sz="6" w:space="0" w:color="auto"/>
              <w:bottom w:val="none" w:sz="6" w:space="0" w:color="auto"/>
              <w:right w:val="none" w:sz="6" w:space="0" w:color="auto"/>
            </w:tcBorders>
          </w:tcPr>
          <w:p w14:paraId="7ED5C583"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SNAPS </w:t>
            </w:r>
          </w:p>
        </w:tc>
        <w:tc>
          <w:tcPr>
            <w:tcW w:w="3138" w:type="dxa"/>
            <w:tcBorders>
              <w:top w:val="none" w:sz="6" w:space="0" w:color="auto"/>
              <w:left w:val="none" w:sz="6" w:space="0" w:color="auto"/>
              <w:bottom w:val="none" w:sz="6" w:space="0" w:color="auto"/>
              <w:right w:val="none" w:sz="6" w:space="0" w:color="auto"/>
            </w:tcBorders>
          </w:tcPr>
          <w:p w14:paraId="6A0735B7"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Special Needs Assistance Programs </w:t>
            </w:r>
          </w:p>
        </w:tc>
        <w:tc>
          <w:tcPr>
            <w:tcW w:w="3642" w:type="dxa"/>
            <w:tcBorders>
              <w:top w:val="none" w:sz="6" w:space="0" w:color="auto"/>
              <w:left w:val="none" w:sz="6" w:space="0" w:color="auto"/>
              <w:bottom w:val="none" w:sz="6" w:space="0" w:color="auto"/>
              <w:right w:val="none" w:sz="6" w:space="0" w:color="auto"/>
            </w:tcBorders>
          </w:tcPr>
          <w:p w14:paraId="31A48DEA"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The Office of Special Needs Assistance Programs or The Office of Special Needs Assistance Programs is a Division within HUD. </w:t>
            </w:r>
          </w:p>
        </w:tc>
      </w:tr>
      <w:tr w:rsidR="00780BD9" w:rsidRPr="00780BD9" w14:paraId="54F073AF" w14:textId="77777777" w:rsidTr="00780BD9">
        <w:tblPrEx>
          <w:tblCellMar>
            <w:top w:w="0" w:type="dxa"/>
            <w:bottom w:w="0" w:type="dxa"/>
          </w:tblCellMar>
        </w:tblPrEx>
        <w:trPr>
          <w:trHeight w:val="1050"/>
        </w:trPr>
        <w:tc>
          <w:tcPr>
            <w:tcW w:w="3480" w:type="dxa"/>
            <w:tcBorders>
              <w:top w:val="none" w:sz="6" w:space="0" w:color="auto"/>
              <w:left w:val="none" w:sz="6" w:space="0" w:color="auto"/>
              <w:bottom w:val="none" w:sz="6" w:space="0" w:color="auto"/>
              <w:right w:val="none" w:sz="6" w:space="0" w:color="auto"/>
            </w:tcBorders>
          </w:tcPr>
          <w:p w14:paraId="404CBCA3"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SOAR </w:t>
            </w:r>
          </w:p>
        </w:tc>
        <w:tc>
          <w:tcPr>
            <w:tcW w:w="3138" w:type="dxa"/>
            <w:tcBorders>
              <w:top w:val="none" w:sz="6" w:space="0" w:color="auto"/>
              <w:left w:val="none" w:sz="6" w:space="0" w:color="auto"/>
              <w:bottom w:val="none" w:sz="6" w:space="0" w:color="auto"/>
              <w:right w:val="none" w:sz="6" w:space="0" w:color="auto"/>
            </w:tcBorders>
          </w:tcPr>
          <w:p w14:paraId="5AED820B"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SSI/SSDI Outreach, Access and Recovery </w:t>
            </w:r>
          </w:p>
        </w:tc>
        <w:tc>
          <w:tcPr>
            <w:tcW w:w="3642" w:type="dxa"/>
            <w:tcBorders>
              <w:top w:val="none" w:sz="6" w:space="0" w:color="auto"/>
              <w:left w:val="none" w:sz="6" w:space="0" w:color="auto"/>
              <w:bottom w:val="none" w:sz="6" w:space="0" w:color="auto"/>
              <w:right w:val="none" w:sz="6" w:space="0" w:color="auto"/>
            </w:tcBorders>
          </w:tcPr>
          <w:p w14:paraId="64A2CF1D"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SSI/SSDI Outreach, Access, and Recovery (SOAR) is a program designed to increase access to Social Security Administration (SSA) disability benefits for eligible individuals who are experiencing or at risk of homelessness and have a mental illness, medical impairment, and/or a co-occurring substance use disorder. </w:t>
            </w:r>
          </w:p>
        </w:tc>
      </w:tr>
      <w:tr w:rsidR="00780BD9" w:rsidRPr="00780BD9" w14:paraId="245F1C97" w14:textId="77777777" w:rsidTr="00780BD9">
        <w:tblPrEx>
          <w:tblCellMar>
            <w:top w:w="0" w:type="dxa"/>
            <w:bottom w:w="0" w:type="dxa"/>
          </w:tblCellMar>
        </w:tblPrEx>
        <w:trPr>
          <w:trHeight w:val="1050"/>
        </w:trPr>
        <w:tc>
          <w:tcPr>
            <w:tcW w:w="3480" w:type="dxa"/>
            <w:tcBorders>
              <w:top w:val="none" w:sz="6" w:space="0" w:color="auto"/>
              <w:left w:val="none" w:sz="6" w:space="0" w:color="auto"/>
              <w:bottom w:val="none" w:sz="6" w:space="0" w:color="auto"/>
              <w:right w:val="none" w:sz="6" w:space="0" w:color="auto"/>
            </w:tcBorders>
          </w:tcPr>
          <w:p w14:paraId="771B3FB2"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lastRenderedPageBreak/>
              <w:t xml:space="preserve">SPMs </w:t>
            </w:r>
          </w:p>
        </w:tc>
        <w:tc>
          <w:tcPr>
            <w:tcW w:w="3138" w:type="dxa"/>
            <w:tcBorders>
              <w:top w:val="none" w:sz="6" w:space="0" w:color="auto"/>
              <w:left w:val="none" w:sz="6" w:space="0" w:color="auto"/>
              <w:bottom w:val="none" w:sz="6" w:space="0" w:color="auto"/>
              <w:right w:val="none" w:sz="6" w:space="0" w:color="auto"/>
            </w:tcBorders>
          </w:tcPr>
          <w:p w14:paraId="6B67993B"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System Performance Measures </w:t>
            </w:r>
          </w:p>
        </w:tc>
        <w:tc>
          <w:tcPr>
            <w:tcW w:w="3642" w:type="dxa"/>
            <w:tcBorders>
              <w:top w:val="none" w:sz="6" w:space="0" w:color="auto"/>
              <w:left w:val="none" w:sz="6" w:space="0" w:color="auto"/>
              <w:bottom w:val="none" w:sz="6" w:space="0" w:color="auto"/>
              <w:right w:val="none" w:sz="6" w:space="0" w:color="auto"/>
            </w:tcBorders>
          </w:tcPr>
          <w:p w14:paraId="006E5929"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System performance measures (SPMs) are a set of standardized criteria used to evaluate the effectiveness of the homeless system. These measures help communities assess their progress in preventing and ending homelessness by analyzing data related to key areas of performance, such as the length of time individuals remain homeless and </w:t>
            </w:r>
            <w:proofErr w:type="gramStart"/>
            <w:r w:rsidRPr="00780BD9">
              <w:rPr>
                <w:rFonts w:ascii="Calibri Light" w:hAnsi="Calibri Light" w:cs="Calibri Light"/>
                <w:b/>
                <w:bCs/>
                <w:sz w:val="22"/>
                <w:szCs w:val="22"/>
              </w:rPr>
              <w:t>returns to</w:t>
            </w:r>
            <w:proofErr w:type="gramEnd"/>
            <w:r w:rsidRPr="00780BD9">
              <w:rPr>
                <w:rFonts w:ascii="Calibri Light" w:hAnsi="Calibri Light" w:cs="Calibri Light"/>
                <w:b/>
                <w:bCs/>
                <w:sz w:val="22"/>
                <w:szCs w:val="22"/>
              </w:rPr>
              <w:t xml:space="preserve"> homelessness after exiting. </w:t>
            </w:r>
          </w:p>
        </w:tc>
      </w:tr>
      <w:tr w:rsidR="00780BD9" w:rsidRPr="00780BD9" w14:paraId="3329EDA0" w14:textId="77777777" w:rsidTr="00780BD9">
        <w:tblPrEx>
          <w:tblCellMar>
            <w:top w:w="0" w:type="dxa"/>
            <w:bottom w:w="0" w:type="dxa"/>
          </w:tblCellMar>
        </w:tblPrEx>
        <w:trPr>
          <w:trHeight w:val="1050"/>
        </w:trPr>
        <w:tc>
          <w:tcPr>
            <w:tcW w:w="3480" w:type="dxa"/>
            <w:tcBorders>
              <w:top w:val="none" w:sz="6" w:space="0" w:color="auto"/>
              <w:left w:val="none" w:sz="6" w:space="0" w:color="auto"/>
              <w:bottom w:val="none" w:sz="6" w:space="0" w:color="auto"/>
              <w:right w:val="none" w:sz="6" w:space="0" w:color="auto"/>
            </w:tcBorders>
          </w:tcPr>
          <w:p w14:paraId="6FD88427"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SSO </w:t>
            </w:r>
          </w:p>
        </w:tc>
        <w:tc>
          <w:tcPr>
            <w:tcW w:w="3138" w:type="dxa"/>
            <w:tcBorders>
              <w:top w:val="none" w:sz="6" w:space="0" w:color="auto"/>
              <w:left w:val="none" w:sz="6" w:space="0" w:color="auto"/>
              <w:bottom w:val="none" w:sz="6" w:space="0" w:color="auto"/>
              <w:right w:val="none" w:sz="6" w:space="0" w:color="auto"/>
            </w:tcBorders>
          </w:tcPr>
          <w:p w14:paraId="6052B374"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Supportive Services Only Projects </w:t>
            </w:r>
          </w:p>
        </w:tc>
        <w:tc>
          <w:tcPr>
            <w:tcW w:w="3642" w:type="dxa"/>
            <w:tcBorders>
              <w:top w:val="none" w:sz="6" w:space="0" w:color="auto"/>
              <w:left w:val="none" w:sz="6" w:space="0" w:color="auto"/>
              <w:bottom w:val="none" w:sz="6" w:space="0" w:color="auto"/>
              <w:right w:val="none" w:sz="6" w:space="0" w:color="auto"/>
            </w:tcBorders>
          </w:tcPr>
          <w:p w14:paraId="5FBB654C"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Supportive Services Only (SSO) projects allow recipients to provide supportive services, such as conducting outreach to sheltered and unsheltered homeless </w:t>
            </w:r>
            <w:proofErr w:type="gramStart"/>
            <w:r w:rsidRPr="00780BD9">
              <w:rPr>
                <w:rFonts w:ascii="Calibri Light" w:hAnsi="Calibri Light" w:cs="Calibri Light"/>
                <w:b/>
                <w:bCs/>
                <w:sz w:val="22"/>
                <w:szCs w:val="22"/>
              </w:rPr>
              <w:t>persons</w:t>
            </w:r>
            <w:proofErr w:type="gramEnd"/>
            <w:r w:rsidRPr="00780BD9">
              <w:rPr>
                <w:rFonts w:ascii="Calibri Light" w:hAnsi="Calibri Light" w:cs="Calibri Light"/>
                <w:b/>
                <w:bCs/>
                <w:sz w:val="22"/>
                <w:szCs w:val="22"/>
              </w:rPr>
              <w:t xml:space="preserve"> and families and providing referrals to other housing or other necessary services, to families and individuals experiencing homelessness. </w:t>
            </w:r>
          </w:p>
        </w:tc>
      </w:tr>
      <w:tr w:rsidR="00780BD9" w:rsidRPr="00780BD9" w14:paraId="4B76FE86" w14:textId="77777777" w:rsidTr="00780BD9">
        <w:tblPrEx>
          <w:tblCellMar>
            <w:top w:w="0" w:type="dxa"/>
            <w:bottom w:w="0" w:type="dxa"/>
          </w:tblCellMar>
        </w:tblPrEx>
        <w:trPr>
          <w:trHeight w:val="1050"/>
        </w:trPr>
        <w:tc>
          <w:tcPr>
            <w:tcW w:w="3480" w:type="dxa"/>
            <w:tcBorders>
              <w:top w:val="none" w:sz="6" w:space="0" w:color="auto"/>
              <w:left w:val="none" w:sz="6" w:space="0" w:color="auto"/>
              <w:bottom w:val="none" w:sz="6" w:space="0" w:color="auto"/>
              <w:right w:val="none" w:sz="6" w:space="0" w:color="auto"/>
            </w:tcBorders>
          </w:tcPr>
          <w:p w14:paraId="6A8DE4DF"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TA </w:t>
            </w:r>
          </w:p>
        </w:tc>
        <w:tc>
          <w:tcPr>
            <w:tcW w:w="3138" w:type="dxa"/>
            <w:tcBorders>
              <w:top w:val="none" w:sz="6" w:space="0" w:color="auto"/>
              <w:left w:val="none" w:sz="6" w:space="0" w:color="auto"/>
              <w:bottom w:val="none" w:sz="6" w:space="0" w:color="auto"/>
              <w:right w:val="none" w:sz="6" w:space="0" w:color="auto"/>
            </w:tcBorders>
          </w:tcPr>
          <w:p w14:paraId="60921F5E"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Technical Assistance </w:t>
            </w:r>
          </w:p>
        </w:tc>
        <w:tc>
          <w:tcPr>
            <w:tcW w:w="3642" w:type="dxa"/>
            <w:tcBorders>
              <w:top w:val="none" w:sz="6" w:space="0" w:color="auto"/>
              <w:left w:val="none" w:sz="6" w:space="0" w:color="auto"/>
              <w:bottom w:val="none" w:sz="6" w:space="0" w:color="auto"/>
              <w:right w:val="none" w:sz="6" w:space="0" w:color="auto"/>
            </w:tcBorders>
          </w:tcPr>
          <w:p w14:paraId="60CA499D"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Targeted technical assistance is designed to provide resources, tools, and support </w:t>
            </w:r>
            <w:proofErr w:type="gramStart"/>
            <w:r w:rsidRPr="00780BD9">
              <w:rPr>
                <w:rFonts w:ascii="Calibri Light" w:hAnsi="Calibri Light" w:cs="Calibri Light"/>
                <w:b/>
                <w:bCs/>
                <w:sz w:val="22"/>
                <w:szCs w:val="22"/>
              </w:rPr>
              <w:t>to</w:t>
            </w:r>
            <w:proofErr w:type="gramEnd"/>
            <w:r w:rsidRPr="00780BD9">
              <w:rPr>
                <w:rFonts w:ascii="Calibri Light" w:hAnsi="Calibri Light" w:cs="Calibri Light"/>
                <w:b/>
                <w:bCs/>
                <w:sz w:val="22"/>
                <w:szCs w:val="22"/>
              </w:rPr>
              <w:t xml:space="preserve"> organizations. </w:t>
            </w:r>
          </w:p>
        </w:tc>
      </w:tr>
      <w:tr w:rsidR="00780BD9" w:rsidRPr="00780BD9" w14:paraId="4397E30C" w14:textId="77777777" w:rsidTr="00780BD9">
        <w:tblPrEx>
          <w:tblCellMar>
            <w:top w:w="0" w:type="dxa"/>
            <w:bottom w:w="0" w:type="dxa"/>
          </w:tblCellMar>
        </w:tblPrEx>
        <w:trPr>
          <w:trHeight w:val="1050"/>
        </w:trPr>
        <w:tc>
          <w:tcPr>
            <w:tcW w:w="3480" w:type="dxa"/>
            <w:tcBorders>
              <w:top w:val="none" w:sz="6" w:space="0" w:color="auto"/>
              <w:left w:val="none" w:sz="6" w:space="0" w:color="auto"/>
              <w:bottom w:val="none" w:sz="6" w:space="0" w:color="auto"/>
              <w:right w:val="none" w:sz="6" w:space="0" w:color="auto"/>
            </w:tcBorders>
          </w:tcPr>
          <w:p w14:paraId="2F0F4980"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TH </w:t>
            </w:r>
          </w:p>
        </w:tc>
        <w:tc>
          <w:tcPr>
            <w:tcW w:w="3138" w:type="dxa"/>
            <w:tcBorders>
              <w:top w:val="none" w:sz="6" w:space="0" w:color="auto"/>
              <w:left w:val="none" w:sz="6" w:space="0" w:color="auto"/>
              <w:bottom w:val="none" w:sz="6" w:space="0" w:color="auto"/>
              <w:right w:val="none" w:sz="6" w:space="0" w:color="auto"/>
            </w:tcBorders>
          </w:tcPr>
          <w:p w14:paraId="78837FC6"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Transitional Housing </w:t>
            </w:r>
          </w:p>
        </w:tc>
        <w:tc>
          <w:tcPr>
            <w:tcW w:w="3642" w:type="dxa"/>
            <w:tcBorders>
              <w:top w:val="none" w:sz="6" w:space="0" w:color="auto"/>
              <w:left w:val="none" w:sz="6" w:space="0" w:color="auto"/>
              <w:bottom w:val="none" w:sz="6" w:space="0" w:color="auto"/>
              <w:right w:val="none" w:sz="6" w:space="0" w:color="auto"/>
            </w:tcBorders>
          </w:tcPr>
          <w:p w14:paraId="67C9CBAF"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Temporary housing with supportive services to individuals and families experiencing homelessness with the goal of interim stability and support to successfully move to and maintain permanent housing. </w:t>
            </w:r>
          </w:p>
        </w:tc>
      </w:tr>
      <w:tr w:rsidR="00780BD9" w:rsidRPr="00780BD9" w14:paraId="16AA8128" w14:textId="77777777" w:rsidTr="00780BD9">
        <w:tblPrEx>
          <w:tblCellMar>
            <w:top w:w="0" w:type="dxa"/>
            <w:bottom w:w="0" w:type="dxa"/>
          </w:tblCellMar>
        </w:tblPrEx>
        <w:trPr>
          <w:trHeight w:val="1050"/>
        </w:trPr>
        <w:tc>
          <w:tcPr>
            <w:tcW w:w="3480" w:type="dxa"/>
            <w:tcBorders>
              <w:top w:val="none" w:sz="6" w:space="0" w:color="auto"/>
              <w:left w:val="none" w:sz="6" w:space="0" w:color="auto"/>
              <w:bottom w:val="none" w:sz="6" w:space="0" w:color="auto"/>
              <w:right w:val="none" w:sz="6" w:space="0" w:color="auto"/>
            </w:tcBorders>
          </w:tcPr>
          <w:p w14:paraId="34EE2178"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TH/PH-RRH </w:t>
            </w:r>
          </w:p>
        </w:tc>
        <w:tc>
          <w:tcPr>
            <w:tcW w:w="3138" w:type="dxa"/>
            <w:tcBorders>
              <w:top w:val="none" w:sz="6" w:space="0" w:color="auto"/>
              <w:left w:val="none" w:sz="6" w:space="0" w:color="auto"/>
              <w:bottom w:val="none" w:sz="6" w:space="0" w:color="auto"/>
              <w:right w:val="none" w:sz="6" w:space="0" w:color="auto"/>
            </w:tcBorders>
          </w:tcPr>
          <w:p w14:paraId="2E86D7D4" w14:textId="77777777" w:rsidR="00780BD9" w:rsidRPr="00780BD9" w:rsidRDefault="00780BD9" w:rsidP="00780BD9">
            <w:pPr>
              <w:rPr>
                <w:rFonts w:ascii="Calibri Light" w:hAnsi="Calibri Light" w:cs="Calibri Light"/>
                <w:b/>
                <w:bCs/>
                <w:sz w:val="22"/>
                <w:szCs w:val="22"/>
              </w:rPr>
            </w:pPr>
            <w:proofErr w:type="gramStart"/>
            <w:r w:rsidRPr="00780BD9">
              <w:rPr>
                <w:rFonts w:ascii="Calibri Light" w:hAnsi="Calibri Light" w:cs="Calibri Light"/>
                <w:b/>
                <w:bCs/>
                <w:sz w:val="22"/>
                <w:szCs w:val="22"/>
              </w:rPr>
              <w:t>Joint</w:t>
            </w:r>
            <w:proofErr w:type="gramEnd"/>
            <w:r w:rsidRPr="00780BD9">
              <w:rPr>
                <w:rFonts w:ascii="Calibri Light" w:hAnsi="Calibri Light" w:cs="Calibri Light"/>
                <w:b/>
                <w:bCs/>
                <w:sz w:val="22"/>
                <w:szCs w:val="22"/>
              </w:rPr>
              <w:t xml:space="preserve"> TH and PH-RRH </w:t>
            </w:r>
          </w:p>
        </w:tc>
        <w:tc>
          <w:tcPr>
            <w:tcW w:w="3642" w:type="dxa"/>
            <w:tcBorders>
              <w:top w:val="none" w:sz="6" w:space="0" w:color="auto"/>
              <w:left w:val="none" w:sz="6" w:space="0" w:color="auto"/>
              <w:bottom w:val="none" w:sz="6" w:space="0" w:color="auto"/>
              <w:right w:val="none" w:sz="6" w:space="0" w:color="auto"/>
            </w:tcBorders>
          </w:tcPr>
          <w:p w14:paraId="0612B4B0"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Joint TH and PH-RRH Component project is a project type that includes two existing program components–TH and PH-RRH–in a single project to serve individuals and families experiencing homelessness. Program </w:t>
            </w:r>
            <w:r w:rsidRPr="00780BD9">
              <w:rPr>
                <w:rFonts w:ascii="Calibri Light" w:hAnsi="Calibri Light" w:cs="Calibri Light"/>
                <w:b/>
                <w:bCs/>
                <w:sz w:val="22"/>
                <w:szCs w:val="22"/>
              </w:rPr>
              <w:lastRenderedPageBreak/>
              <w:t xml:space="preserve">participants may only receive up to </w:t>
            </w:r>
            <w:proofErr w:type="gramStart"/>
            <w:r w:rsidRPr="00780BD9">
              <w:rPr>
                <w:rFonts w:ascii="Calibri Light" w:hAnsi="Calibri Light" w:cs="Calibri Light"/>
                <w:b/>
                <w:bCs/>
                <w:sz w:val="22"/>
                <w:szCs w:val="22"/>
              </w:rPr>
              <w:t>24-months</w:t>
            </w:r>
            <w:proofErr w:type="gramEnd"/>
            <w:r w:rsidRPr="00780BD9">
              <w:rPr>
                <w:rFonts w:ascii="Calibri Light" w:hAnsi="Calibri Light" w:cs="Calibri Light"/>
                <w:b/>
                <w:bCs/>
                <w:sz w:val="22"/>
                <w:szCs w:val="22"/>
              </w:rPr>
              <w:t xml:space="preserve"> of total assistance. </w:t>
            </w:r>
          </w:p>
        </w:tc>
      </w:tr>
      <w:tr w:rsidR="00780BD9" w:rsidRPr="00780BD9" w14:paraId="2778D035" w14:textId="77777777" w:rsidTr="00780BD9">
        <w:tblPrEx>
          <w:tblCellMar>
            <w:top w:w="0" w:type="dxa"/>
            <w:bottom w:w="0" w:type="dxa"/>
          </w:tblCellMar>
        </w:tblPrEx>
        <w:trPr>
          <w:trHeight w:val="1050"/>
        </w:trPr>
        <w:tc>
          <w:tcPr>
            <w:tcW w:w="3480" w:type="dxa"/>
            <w:tcBorders>
              <w:top w:val="none" w:sz="6" w:space="0" w:color="auto"/>
              <w:left w:val="none" w:sz="6" w:space="0" w:color="auto"/>
              <w:bottom w:val="none" w:sz="6" w:space="0" w:color="auto"/>
              <w:right w:val="none" w:sz="6" w:space="0" w:color="auto"/>
            </w:tcBorders>
          </w:tcPr>
          <w:p w14:paraId="26299E5F"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lastRenderedPageBreak/>
              <w:t xml:space="preserve">UEI </w:t>
            </w:r>
          </w:p>
        </w:tc>
        <w:tc>
          <w:tcPr>
            <w:tcW w:w="3138" w:type="dxa"/>
            <w:tcBorders>
              <w:top w:val="none" w:sz="6" w:space="0" w:color="auto"/>
              <w:left w:val="none" w:sz="6" w:space="0" w:color="auto"/>
              <w:bottom w:val="none" w:sz="6" w:space="0" w:color="auto"/>
              <w:right w:val="none" w:sz="6" w:space="0" w:color="auto"/>
            </w:tcBorders>
          </w:tcPr>
          <w:p w14:paraId="25AD56E3"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Unique Entity Identifier </w:t>
            </w:r>
          </w:p>
        </w:tc>
        <w:tc>
          <w:tcPr>
            <w:tcW w:w="3642" w:type="dxa"/>
            <w:tcBorders>
              <w:top w:val="none" w:sz="6" w:space="0" w:color="auto"/>
              <w:left w:val="none" w:sz="6" w:space="0" w:color="auto"/>
              <w:bottom w:val="none" w:sz="6" w:space="0" w:color="auto"/>
              <w:right w:val="none" w:sz="6" w:space="0" w:color="auto"/>
            </w:tcBorders>
          </w:tcPr>
          <w:p w14:paraId="05EB1B09"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An identifier assigned by SAM (the on-line Federal Repository) to uniquely identify business entities. </w:t>
            </w:r>
          </w:p>
        </w:tc>
      </w:tr>
      <w:tr w:rsidR="00780BD9" w:rsidRPr="00780BD9" w14:paraId="3D07FFCE" w14:textId="77777777" w:rsidTr="00780BD9">
        <w:tblPrEx>
          <w:tblCellMar>
            <w:top w:w="0" w:type="dxa"/>
            <w:bottom w:w="0" w:type="dxa"/>
          </w:tblCellMar>
        </w:tblPrEx>
        <w:trPr>
          <w:trHeight w:val="1050"/>
        </w:trPr>
        <w:tc>
          <w:tcPr>
            <w:tcW w:w="3480" w:type="dxa"/>
            <w:tcBorders>
              <w:top w:val="none" w:sz="6" w:space="0" w:color="auto"/>
              <w:left w:val="none" w:sz="6" w:space="0" w:color="auto"/>
              <w:bottom w:val="none" w:sz="6" w:space="0" w:color="auto"/>
              <w:right w:val="none" w:sz="6" w:space="0" w:color="auto"/>
            </w:tcBorders>
          </w:tcPr>
          <w:p w14:paraId="60D853F9"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VSP </w:t>
            </w:r>
          </w:p>
        </w:tc>
        <w:tc>
          <w:tcPr>
            <w:tcW w:w="3138" w:type="dxa"/>
            <w:tcBorders>
              <w:top w:val="none" w:sz="6" w:space="0" w:color="auto"/>
              <w:left w:val="none" w:sz="6" w:space="0" w:color="auto"/>
              <w:bottom w:val="none" w:sz="6" w:space="0" w:color="auto"/>
              <w:right w:val="none" w:sz="6" w:space="0" w:color="auto"/>
            </w:tcBorders>
          </w:tcPr>
          <w:p w14:paraId="661A65AD"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Victim Services Provider </w:t>
            </w:r>
          </w:p>
        </w:tc>
        <w:tc>
          <w:tcPr>
            <w:tcW w:w="3642" w:type="dxa"/>
            <w:tcBorders>
              <w:top w:val="none" w:sz="6" w:space="0" w:color="auto"/>
              <w:left w:val="none" w:sz="6" w:space="0" w:color="auto"/>
              <w:bottom w:val="none" w:sz="6" w:space="0" w:color="auto"/>
              <w:right w:val="none" w:sz="6" w:space="0" w:color="auto"/>
            </w:tcBorders>
          </w:tcPr>
          <w:p w14:paraId="1DBB7F1B"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A private nonprofit organization whose primary mission is to provide direct services to victims of domestic violence, dating violence, sexual assault, and human trafficking. </w:t>
            </w:r>
          </w:p>
        </w:tc>
      </w:tr>
      <w:tr w:rsidR="00780BD9" w:rsidRPr="00780BD9" w14:paraId="18FDC28E" w14:textId="77777777" w:rsidTr="00780BD9">
        <w:tblPrEx>
          <w:tblCellMar>
            <w:top w:w="0" w:type="dxa"/>
            <w:bottom w:w="0" w:type="dxa"/>
          </w:tblCellMar>
        </w:tblPrEx>
        <w:trPr>
          <w:trHeight w:val="1050"/>
        </w:trPr>
        <w:tc>
          <w:tcPr>
            <w:tcW w:w="3480" w:type="dxa"/>
            <w:tcBorders>
              <w:top w:val="none" w:sz="6" w:space="0" w:color="auto"/>
              <w:left w:val="none" w:sz="6" w:space="0" w:color="auto"/>
              <w:bottom w:val="none" w:sz="6" w:space="0" w:color="auto"/>
              <w:right w:val="none" w:sz="6" w:space="0" w:color="auto"/>
            </w:tcBorders>
          </w:tcPr>
          <w:p w14:paraId="76ED693C"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YHDP </w:t>
            </w:r>
          </w:p>
        </w:tc>
        <w:tc>
          <w:tcPr>
            <w:tcW w:w="3138" w:type="dxa"/>
            <w:tcBorders>
              <w:top w:val="none" w:sz="6" w:space="0" w:color="auto"/>
              <w:left w:val="none" w:sz="6" w:space="0" w:color="auto"/>
              <w:bottom w:val="none" w:sz="6" w:space="0" w:color="auto"/>
              <w:right w:val="none" w:sz="6" w:space="0" w:color="auto"/>
            </w:tcBorders>
          </w:tcPr>
          <w:p w14:paraId="0CEB161D"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Youth Homelessness Demonstration Program </w:t>
            </w:r>
          </w:p>
        </w:tc>
        <w:tc>
          <w:tcPr>
            <w:tcW w:w="3642" w:type="dxa"/>
            <w:tcBorders>
              <w:top w:val="none" w:sz="6" w:space="0" w:color="auto"/>
              <w:left w:val="none" w:sz="6" w:space="0" w:color="auto"/>
              <w:bottom w:val="none" w:sz="6" w:space="0" w:color="auto"/>
              <w:right w:val="none" w:sz="6" w:space="0" w:color="auto"/>
            </w:tcBorders>
          </w:tcPr>
          <w:p w14:paraId="31BC1EFE"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Program designed to reduce the number of </w:t>
            </w:r>
            <w:proofErr w:type="gramStart"/>
            <w:r w:rsidRPr="00780BD9">
              <w:rPr>
                <w:rFonts w:ascii="Calibri Light" w:hAnsi="Calibri Light" w:cs="Calibri Light"/>
                <w:b/>
                <w:bCs/>
                <w:sz w:val="22"/>
                <w:szCs w:val="22"/>
              </w:rPr>
              <w:t>youth</w:t>
            </w:r>
            <w:proofErr w:type="gramEnd"/>
            <w:r w:rsidRPr="00780BD9">
              <w:rPr>
                <w:rFonts w:ascii="Calibri Light" w:hAnsi="Calibri Light" w:cs="Calibri Light"/>
                <w:b/>
                <w:bCs/>
                <w:sz w:val="22"/>
                <w:szCs w:val="22"/>
              </w:rPr>
              <w:t xml:space="preserve"> experiencing homelessness through the development and implementation of a coordinated community approach. </w:t>
            </w:r>
          </w:p>
        </w:tc>
      </w:tr>
      <w:tr w:rsidR="00780BD9" w:rsidRPr="00780BD9" w14:paraId="40AE9B96" w14:textId="77777777" w:rsidTr="00780BD9">
        <w:tblPrEx>
          <w:tblCellMar>
            <w:top w:w="0" w:type="dxa"/>
            <w:bottom w:w="0" w:type="dxa"/>
          </w:tblCellMar>
        </w:tblPrEx>
        <w:trPr>
          <w:trHeight w:val="5226"/>
        </w:trPr>
        <w:tc>
          <w:tcPr>
            <w:tcW w:w="3480" w:type="dxa"/>
            <w:tcBorders>
              <w:top w:val="none" w:sz="6" w:space="0" w:color="auto"/>
              <w:left w:val="none" w:sz="6" w:space="0" w:color="auto"/>
              <w:bottom w:val="none" w:sz="6" w:space="0" w:color="auto"/>
              <w:right w:val="none" w:sz="6" w:space="0" w:color="auto"/>
            </w:tcBorders>
          </w:tcPr>
          <w:p w14:paraId="5A1D719D"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Youth </w:t>
            </w:r>
          </w:p>
        </w:tc>
        <w:tc>
          <w:tcPr>
            <w:tcW w:w="3138" w:type="dxa"/>
            <w:tcBorders>
              <w:top w:val="none" w:sz="6" w:space="0" w:color="auto"/>
              <w:left w:val="none" w:sz="6" w:space="0" w:color="auto"/>
              <w:bottom w:val="none" w:sz="6" w:space="0" w:color="auto"/>
              <w:right w:val="none" w:sz="6" w:space="0" w:color="auto"/>
            </w:tcBorders>
          </w:tcPr>
          <w:p w14:paraId="369C7E6F"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Homeless Youth </w:t>
            </w:r>
          </w:p>
        </w:tc>
        <w:tc>
          <w:tcPr>
            <w:tcW w:w="3642" w:type="dxa"/>
            <w:tcBorders>
              <w:top w:val="none" w:sz="6" w:space="0" w:color="auto"/>
              <w:left w:val="none" w:sz="6" w:space="0" w:color="auto"/>
              <w:bottom w:val="none" w:sz="6" w:space="0" w:color="auto"/>
              <w:right w:val="none" w:sz="6" w:space="0" w:color="auto"/>
            </w:tcBorders>
          </w:tcPr>
          <w:p w14:paraId="2CAB3F78" w14:textId="77777777" w:rsidR="00780BD9" w:rsidRPr="00780BD9" w:rsidRDefault="00780BD9" w:rsidP="00780BD9">
            <w:pPr>
              <w:rPr>
                <w:rFonts w:ascii="Calibri Light" w:hAnsi="Calibri Light" w:cs="Calibri Light"/>
                <w:b/>
                <w:bCs/>
                <w:sz w:val="22"/>
                <w:szCs w:val="22"/>
              </w:rPr>
            </w:pPr>
            <w:r w:rsidRPr="00780BD9">
              <w:rPr>
                <w:rFonts w:ascii="Calibri Light" w:hAnsi="Calibri Light" w:cs="Calibri Light"/>
                <w:b/>
                <w:bCs/>
                <w:sz w:val="22"/>
                <w:szCs w:val="22"/>
              </w:rPr>
              <w:t xml:space="preserve">Youth who lack a fixed, regular or adequate nighttime residence. Depending on the program and funding source, the age and definition of youth homelessness varies. Some youth programs serve </w:t>
            </w:r>
            <w:proofErr w:type="gramStart"/>
            <w:r w:rsidRPr="00780BD9">
              <w:rPr>
                <w:rFonts w:ascii="Calibri Light" w:hAnsi="Calibri Light" w:cs="Calibri Light"/>
                <w:b/>
                <w:bCs/>
                <w:sz w:val="22"/>
                <w:szCs w:val="22"/>
              </w:rPr>
              <w:t>persons</w:t>
            </w:r>
            <w:proofErr w:type="gramEnd"/>
            <w:r w:rsidRPr="00780BD9">
              <w:rPr>
                <w:rFonts w:ascii="Calibri Light" w:hAnsi="Calibri Light" w:cs="Calibri Light"/>
                <w:b/>
                <w:bCs/>
                <w:sz w:val="22"/>
                <w:szCs w:val="22"/>
              </w:rPr>
              <w:t xml:space="preserve"> up to 18 years of age, while other definitions consider youth up to the age of 21 or 24. Additionally, the US Department of Education considers youth that are sharing housing due to loss of housing or economic hardship to be homeless for purposes of their programs. </w:t>
            </w:r>
          </w:p>
        </w:tc>
      </w:tr>
    </w:tbl>
    <w:p w14:paraId="5B708AE7" w14:textId="77777777" w:rsidR="008F72EC" w:rsidRPr="00780BD9" w:rsidRDefault="008F72EC">
      <w:pPr>
        <w:rPr>
          <w:rFonts w:ascii="Calibri Light" w:hAnsi="Calibri Light" w:cs="Calibri Light"/>
        </w:rPr>
      </w:pPr>
    </w:p>
    <w:sectPr w:rsidR="008F72EC" w:rsidRPr="00780BD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91C7E" w14:textId="77777777" w:rsidR="00780BD9" w:rsidRDefault="00780BD9" w:rsidP="00780BD9">
      <w:pPr>
        <w:spacing w:after="0" w:line="240" w:lineRule="auto"/>
      </w:pPr>
      <w:r>
        <w:separator/>
      </w:r>
    </w:p>
  </w:endnote>
  <w:endnote w:type="continuationSeparator" w:id="0">
    <w:p w14:paraId="5E4B921B" w14:textId="77777777" w:rsidR="00780BD9" w:rsidRDefault="00780BD9" w:rsidP="00780B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AF345" w14:textId="77777777" w:rsidR="00780BD9" w:rsidRDefault="00780BD9" w:rsidP="00780BD9">
      <w:pPr>
        <w:spacing w:after="0" w:line="240" w:lineRule="auto"/>
      </w:pPr>
      <w:r>
        <w:separator/>
      </w:r>
    </w:p>
  </w:footnote>
  <w:footnote w:type="continuationSeparator" w:id="0">
    <w:p w14:paraId="1FEC8B3E" w14:textId="77777777" w:rsidR="00780BD9" w:rsidRDefault="00780BD9" w:rsidP="00780B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A3CF9" w14:textId="77777777" w:rsidR="00780BD9" w:rsidRDefault="00780BD9" w:rsidP="00780BD9">
    <w:pPr>
      <w:pStyle w:val="Default"/>
    </w:pPr>
  </w:p>
  <w:p w14:paraId="1AB88033" w14:textId="7191E34A" w:rsidR="00780BD9" w:rsidRPr="00780BD9" w:rsidRDefault="00780BD9" w:rsidP="00780BD9">
    <w:pPr>
      <w:pStyle w:val="Header"/>
      <w:jc w:val="center"/>
      <w:rPr>
        <w:rFonts w:ascii="Calibri Light" w:hAnsi="Calibri Light" w:cs="Calibri Light"/>
        <w:b/>
        <w:bCs/>
        <w:color w:val="000000" w:themeColor="text1"/>
        <w:sz w:val="28"/>
        <w:szCs w:val="28"/>
      </w:rPr>
    </w:pPr>
    <w:r w:rsidRPr="00780BD9">
      <w:rPr>
        <w:rFonts w:ascii="Calibri Light" w:hAnsi="Calibri Light" w:cs="Calibri Light"/>
        <w:b/>
        <w:bCs/>
        <w:color w:val="000000" w:themeColor="text1"/>
        <w:sz w:val="28"/>
        <w:szCs w:val="28"/>
      </w:rPr>
      <w:t>MO-602 Joplin/Jasper/Newton Counties</w:t>
    </w:r>
  </w:p>
  <w:p w14:paraId="72038B5A" w14:textId="26AB751C" w:rsidR="00780BD9" w:rsidRPr="00780BD9" w:rsidRDefault="00780BD9" w:rsidP="00780BD9">
    <w:pPr>
      <w:pStyle w:val="Header"/>
      <w:jc w:val="center"/>
      <w:rPr>
        <w:rFonts w:ascii="Calibri Light" w:hAnsi="Calibri Light" w:cs="Calibri Light"/>
        <w:b/>
        <w:bCs/>
        <w:color w:val="000000" w:themeColor="text1"/>
        <w:sz w:val="28"/>
        <w:szCs w:val="28"/>
      </w:rPr>
    </w:pPr>
    <w:r w:rsidRPr="00780BD9">
      <w:rPr>
        <w:rFonts w:ascii="Calibri Light" w:hAnsi="Calibri Light" w:cs="Calibri Light"/>
        <w:b/>
        <w:bCs/>
        <w:color w:val="000000" w:themeColor="text1"/>
        <w:sz w:val="28"/>
        <w:szCs w:val="28"/>
      </w:rPr>
      <w:t>Common Acronyms, Terms, and Definitions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BD9"/>
    <w:rsid w:val="00002EEB"/>
    <w:rsid w:val="00391F9B"/>
    <w:rsid w:val="004D6E0D"/>
    <w:rsid w:val="00632956"/>
    <w:rsid w:val="00704A23"/>
    <w:rsid w:val="00780BD9"/>
    <w:rsid w:val="007A7B6B"/>
    <w:rsid w:val="007B0A6C"/>
    <w:rsid w:val="008F72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446C5"/>
  <w15:chartTrackingRefBased/>
  <w15:docId w15:val="{8652DDC9-7078-4779-BD30-EF3FB8C1A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0BD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80BD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80BD9"/>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780BD9"/>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780BD9"/>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780B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0B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0B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0B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0BD9"/>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80BD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80BD9"/>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80BD9"/>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80BD9"/>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80B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0B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0B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0BD9"/>
    <w:rPr>
      <w:rFonts w:eastAsiaTheme="majorEastAsia" w:cstheme="majorBidi"/>
      <w:color w:val="272727" w:themeColor="text1" w:themeTint="D8"/>
    </w:rPr>
  </w:style>
  <w:style w:type="paragraph" w:styleId="Title">
    <w:name w:val="Title"/>
    <w:basedOn w:val="Normal"/>
    <w:next w:val="Normal"/>
    <w:link w:val="TitleChar"/>
    <w:uiPriority w:val="10"/>
    <w:qFormat/>
    <w:rsid w:val="00780B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0B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0B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0B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0BD9"/>
    <w:pPr>
      <w:spacing w:before="160"/>
      <w:jc w:val="center"/>
    </w:pPr>
    <w:rPr>
      <w:i/>
      <w:iCs/>
      <w:color w:val="404040" w:themeColor="text1" w:themeTint="BF"/>
    </w:rPr>
  </w:style>
  <w:style w:type="character" w:customStyle="1" w:styleId="QuoteChar">
    <w:name w:val="Quote Char"/>
    <w:basedOn w:val="DefaultParagraphFont"/>
    <w:link w:val="Quote"/>
    <w:uiPriority w:val="29"/>
    <w:rsid w:val="00780BD9"/>
    <w:rPr>
      <w:i/>
      <w:iCs/>
      <w:color w:val="404040" w:themeColor="text1" w:themeTint="BF"/>
    </w:rPr>
  </w:style>
  <w:style w:type="paragraph" w:styleId="ListParagraph">
    <w:name w:val="List Paragraph"/>
    <w:basedOn w:val="Normal"/>
    <w:uiPriority w:val="34"/>
    <w:qFormat/>
    <w:rsid w:val="00780BD9"/>
    <w:pPr>
      <w:ind w:left="720"/>
      <w:contextualSpacing/>
    </w:pPr>
  </w:style>
  <w:style w:type="character" w:styleId="IntenseEmphasis">
    <w:name w:val="Intense Emphasis"/>
    <w:basedOn w:val="DefaultParagraphFont"/>
    <w:uiPriority w:val="21"/>
    <w:qFormat/>
    <w:rsid w:val="00780BD9"/>
    <w:rPr>
      <w:i/>
      <w:iCs/>
      <w:color w:val="2E74B5" w:themeColor="accent1" w:themeShade="BF"/>
    </w:rPr>
  </w:style>
  <w:style w:type="paragraph" w:styleId="IntenseQuote">
    <w:name w:val="Intense Quote"/>
    <w:basedOn w:val="Normal"/>
    <w:next w:val="Normal"/>
    <w:link w:val="IntenseQuoteChar"/>
    <w:uiPriority w:val="30"/>
    <w:qFormat/>
    <w:rsid w:val="00780BD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780BD9"/>
    <w:rPr>
      <w:i/>
      <w:iCs/>
      <w:color w:val="2E74B5" w:themeColor="accent1" w:themeShade="BF"/>
    </w:rPr>
  </w:style>
  <w:style w:type="character" w:styleId="IntenseReference">
    <w:name w:val="Intense Reference"/>
    <w:basedOn w:val="DefaultParagraphFont"/>
    <w:uiPriority w:val="32"/>
    <w:qFormat/>
    <w:rsid w:val="00780BD9"/>
    <w:rPr>
      <w:b/>
      <w:bCs/>
      <w:smallCaps/>
      <w:color w:val="2E74B5" w:themeColor="accent1" w:themeShade="BF"/>
      <w:spacing w:val="5"/>
    </w:rPr>
  </w:style>
  <w:style w:type="paragraph" w:styleId="Header">
    <w:name w:val="header"/>
    <w:basedOn w:val="Normal"/>
    <w:link w:val="HeaderChar"/>
    <w:uiPriority w:val="99"/>
    <w:unhideWhenUsed/>
    <w:rsid w:val="00780B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0BD9"/>
  </w:style>
  <w:style w:type="paragraph" w:styleId="Footer">
    <w:name w:val="footer"/>
    <w:basedOn w:val="Normal"/>
    <w:link w:val="FooterChar"/>
    <w:uiPriority w:val="99"/>
    <w:unhideWhenUsed/>
    <w:rsid w:val="00780B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0BD9"/>
  </w:style>
  <w:style w:type="paragraph" w:customStyle="1" w:styleId="Default">
    <w:name w:val="Default"/>
    <w:rsid w:val="00780BD9"/>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2920</Words>
  <Characters>16648</Characters>
  <Application>Microsoft Office Word</Application>
  <DocSecurity>0</DocSecurity>
  <Lines>138</Lines>
  <Paragraphs>39</Paragraphs>
  <ScaleCrop>false</ScaleCrop>
  <Company>Economic Security</Company>
  <LinksUpToDate>false</LinksUpToDate>
  <CharactersWithSpaces>19529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Tammy Walker</dc:creator>
  <cp:keywords/>
  <dc:description/>
  <cp:lastModifiedBy>Tammy Walker</cp:lastModifiedBy>
  <cp:revision>2</cp:revision>
  <dcterms:created xsi:type="dcterms:W3CDTF">2025-08-26T18:52:00Z</dcterms:created>
  <dcterms:modified xsi:type="dcterms:W3CDTF">2025-08-26T18:52:00Z</dcterms:modified>
</cp:coreProperties>
</file>